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AC91" w14:textId="56A3B37E" w:rsidR="0002076F" w:rsidRPr="00C22CCE" w:rsidRDefault="00C22CCE" w:rsidP="00977549">
      <w:pPr>
        <w:spacing w:after="0" w:line="240" w:lineRule="auto"/>
        <w:rPr>
          <w:u w:val="single"/>
          <w:lang w:val="de-DE"/>
        </w:rPr>
      </w:pPr>
      <w:r w:rsidRPr="00C22CCE">
        <w:rPr>
          <w:u w:val="single"/>
        </w:rPr>
        <w:t xml:space="preserve">2023-07-17 Постанова </w:t>
      </w:r>
      <w:proofErr w:type="gramStart"/>
      <w:r w:rsidRPr="00C22CCE">
        <w:rPr>
          <w:u w:val="single"/>
        </w:rPr>
        <w:t xml:space="preserve">BERUFUNGSURTEIL  </w:t>
      </w:r>
      <w:proofErr w:type="spellStart"/>
      <w:r w:rsidRPr="00C22CCE">
        <w:rPr>
          <w:u w:val="single"/>
        </w:rPr>
        <w:t>de</w:t>
      </w:r>
      <w:proofErr w:type="spellEnd"/>
      <w:r w:rsidRPr="00C22CCE">
        <w:rPr>
          <w:u w:val="single"/>
          <w:lang w:val="de-DE"/>
        </w:rPr>
        <w:t>.</w:t>
      </w:r>
      <w:proofErr w:type="spellStart"/>
      <w:r w:rsidRPr="00C22CCE">
        <w:rPr>
          <w:u w:val="single"/>
          <w:lang w:val="de-DE"/>
        </w:rPr>
        <w:t>docx</w:t>
      </w:r>
      <w:proofErr w:type="spellEnd"/>
      <w:proofErr w:type="gramEnd"/>
    </w:p>
    <w:p w14:paraId="1DB3A953" w14:textId="77777777" w:rsidR="00C22CCE" w:rsidRPr="00C22CCE" w:rsidRDefault="00C22CCE" w:rsidP="00977549">
      <w:pPr>
        <w:spacing w:after="0" w:line="240" w:lineRule="auto"/>
        <w:rPr>
          <w:i/>
          <w:iCs/>
          <w:u w:val="single"/>
          <w:lang w:val="de-DE"/>
        </w:rPr>
      </w:pPr>
    </w:p>
    <w:p w14:paraId="53615B52" w14:textId="77777777" w:rsidR="00B819D9" w:rsidRDefault="00B819D9" w:rsidP="00977549">
      <w:pPr>
        <w:spacing w:after="0" w:line="240" w:lineRule="auto"/>
        <w:rPr>
          <w:i/>
          <w:iCs/>
          <w:u w:val="single"/>
        </w:rPr>
      </w:pPr>
    </w:p>
    <w:p w14:paraId="58F946DC" w14:textId="77777777" w:rsidR="00B819D9" w:rsidRDefault="00B819D9" w:rsidP="00977549">
      <w:pPr>
        <w:spacing w:after="0" w:line="240" w:lineRule="auto"/>
        <w:rPr>
          <w:i/>
          <w:iCs/>
          <w:u w:val="single"/>
        </w:rPr>
      </w:pPr>
    </w:p>
    <w:p w14:paraId="6E20393D" w14:textId="77777777" w:rsidR="00B819D9" w:rsidRDefault="00B819D9" w:rsidP="00977549">
      <w:pPr>
        <w:spacing w:after="0" w:line="240" w:lineRule="auto"/>
        <w:rPr>
          <w:i/>
          <w:iCs/>
          <w:u w:val="single"/>
        </w:rPr>
      </w:pPr>
    </w:p>
    <w:p w14:paraId="03C89792" w14:textId="77777777" w:rsidR="00B819D9" w:rsidRDefault="00B819D9" w:rsidP="00977549">
      <w:pPr>
        <w:spacing w:after="0" w:line="240" w:lineRule="auto"/>
        <w:rPr>
          <w:i/>
          <w:iCs/>
          <w:u w:val="single"/>
        </w:rPr>
      </w:pPr>
    </w:p>
    <w:p w14:paraId="4648834A" w14:textId="77777777" w:rsidR="00977549" w:rsidRPr="00B819D9" w:rsidRDefault="00977549" w:rsidP="00977549">
      <w:pPr>
        <w:spacing w:after="0" w:line="240" w:lineRule="auto"/>
        <w:rPr>
          <w:i/>
          <w:iCs/>
          <w:u w:val="single"/>
        </w:rPr>
      </w:pPr>
      <w:r w:rsidRPr="00B819D9">
        <w:rPr>
          <w:i/>
          <w:iCs/>
          <w:u w:val="single"/>
        </w:rPr>
        <w:t xml:space="preserve">Переклад з </w:t>
      </w:r>
      <w:proofErr w:type="spellStart"/>
      <w:r w:rsidRPr="00B819D9">
        <w:rPr>
          <w:i/>
          <w:iCs/>
          <w:u w:val="single"/>
        </w:rPr>
        <w:t>української</w:t>
      </w:r>
      <w:proofErr w:type="spellEnd"/>
      <w:r w:rsidRPr="00B819D9">
        <w:rPr>
          <w:i/>
          <w:iCs/>
          <w:u w:val="single"/>
        </w:rPr>
        <w:t xml:space="preserve"> </w:t>
      </w:r>
      <w:proofErr w:type="spellStart"/>
      <w:r w:rsidRPr="00B819D9">
        <w:rPr>
          <w:i/>
          <w:iCs/>
          <w:u w:val="single"/>
        </w:rPr>
        <w:t>мови</w:t>
      </w:r>
      <w:proofErr w:type="spellEnd"/>
      <w:r w:rsidRPr="00B819D9">
        <w:rPr>
          <w:i/>
          <w:iCs/>
          <w:u w:val="single"/>
        </w:rPr>
        <w:t xml:space="preserve"> на </w:t>
      </w:r>
      <w:proofErr w:type="spellStart"/>
      <w:r w:rsidRPr="00B819D9">
        <w:rPr>
          <w:i/>
          <w:iCs/>
          <w:u w:val="single"/>
        </w:rPr>
        <w:t>німецьку</w:t>
      </w:r>
      <w:proofErr w:type="spellEnd"/>
      <w:r w:rsidRPr="00B819D9">
        <w:rPr>
          <w:i/>
          <w:iCs/>
          <w:u w:val="single"/>
        </w:rPr>
        <w:t xml:space="preserve"> мову</w:t>
      </w:r>
    </w:p>
    <w:p w14:paraId="1188034F" w14:textId="66E18147" w:rsidR="00977549" w:rsidRPr="00977549" w:rsidRDefault="00977549" w:rsidP="00977549">
      <w:pPr>
        <w:spacing w:after="0" w:line="240" w:lineRule="auto"/>
        <w:rPr>
          <w:lang w:val="de-DE"/>
        </w:rPr>
      </w:pPr>
      <w:r w:rsidRPr="00977549">
        <w:rPr>
          <w:i/>
          <w:iCs/>
          <w:u w:val="single"/>
          <w:lang w:val="de-DE"/>
        </w:rPr>
        <w:t>Übersetzung aus dem Ukrainischen ins Deutsche</w:t>
      </w:r>
    </w:p>
    <w:p w14:paraId="17280346" w14:textId="525A49AF" w:rsidR="00977549" w:rsidRPr="00977549" w:rsidRDefault="00977549" w:rsidP="00977549">
      <w:pPr>
        <w:spacing w:after="0" w:line="240" w:lineRule="auto"/>
        <w:rPr>
          <w:lang w:val="de-DE"/>
        </w:rPr>
      </w:pPr>
    </w:p>
    <w:p w14:paraId="17A05FC0" w14:textId="77777777" w:rsidR="006C2DB8" w:rsidRPr="00977549" w:rsidRDefault="009338D0" w:rsidP="00691F86">
      <w:pPr>
        <w:spacing w:after="0" w:line="240" w:lineRule="auto"/>
        <w:jc w:val="right"/>
        <w:rPr>
          <w:lang w:val="de-DE"/>
        </w:rPr>
      </w:pPr>
      <w:hyperlink r:id="rId5" w:history="1">
        <w:r w:rsidRPr="00977549">
          <w:rPr>
            <w:rStyle w:val="Hyperlink"/>
            <w:lang w:val="de-DE"/>
          </w:rPr>
          <w:t>https://reyestr.court.gov.ua/Review/112489341</w:t>
        </w:r>
      </w:hyperlink>
    </w:p>
    <w:p w14:paraId="74C57344" w14:textId="77777777" w:rsidR="009338D0" w:rsidRPr="00977549" w:rsidRDefault="009338D0" w:rsidP="00691F86">
      <w:pPr>
        <w:spacing w:after="0" w:line="240" w:lineRule="auto"/>
        <w:rPr>
          <w:lang w:val="de-DE"/>
        </w:rPr>
      </w:pPr>
      <w:r w:rsidRPr="00977549">
        <w:rPr>
          <w:lang w:val="de-DE"/>
        </w:rPr>
        <w:t>Fallkategorie-</w:t>
      </w:r>
      <w:proofErr w:type="spellStart"/>
      <w:r w:rsidRPr="00977549">
        <w:rPr>
          <w:lang w:val="de-DE"/>
        </w:rPr>
        <w:t>Nr</w:t>
      </w:r>
      <w:proofErr w:type="spellEnd"/>
    </w:p>
    <w:p w14:paraId="55E3EE50" w14:textId="77777777" w:rsidR="009338D0" w:rsidRPr="00977549" w:rsidRDefault="00EC4544" w:rsidP="00691F86">
      <w:pPr>
        <w:spacing w:after="0" w:line="240" w:lineRule="auto"/>
        <w:rPr>
          <w:b/>
          <w:lang w:val="de-DE"/>
        </w:rPr>
      </w:pPr>
      <w:r w:rsidRPr="00977549">
        <w:rPr>
          <w:b/>
          <w:lang w:val="de-DE"/>
        </w:rPr>
        <w:t>757/32671/17-z</w:t>
      </w:r>
    </w:p>
    <w:p w14:paraId="0F21C895" w14:textId="77777777" w:rsidR="008729A1" w:rsidRPr="00977549" w:rsidRDefault="009338D0" w:rsidP="00691F86">
      <w:pPr>
        <w:spacing w:after="0" w:line="240" w:lineRule="auto"/>
        <w:rPr>
          <w:b/>
          <w:lang w:val="de-DE"/>
        </w:rPr>
      </w:pPr>
      <w:r w:rsidRPr="00977549">
        <w:rPr>
          <w:b/>
          <w:lang w:val="de-DE"/>
        </w:rPr>
        <w:t xml:space="preserve">: Zivilsachen (ab 01.01.2019); </w:t>
      </w:r>
    </w:p>
    <w:p w14:paraId="35A52D01" w14:textId="77777777" w:rsidR="008729A1" w:rsidRPr="00977549" w:rsidRDefault="009338D0" w:rsidP="00691F86">
      <w:pPr>
        <w:spacing w:after="0" w:line="240" w:lineRule="auto"/>
        <w:rPr>
          <w:b/>
          <w:lang w:val="de-DE"/>
        </w:rPr>
      </w:pPr>
      <w:r w:rsidRPr="00977549">
        <w:rPr>
          <w:b/>
          <w:lang w:val="de-DE"/>
        </w:rPr>
        <w:t xml:space="preserve">Fälle von Gerichtsverfahren; </w:t>
      </w:r>
    </w:p>
    <w:p w14:paraId="010A4DD1" w14:textId="77777777" w:rsidR="008729A1" w:rsidRPr="00977549" w:rsidRDefault="009338D0" w:rsidP="00691F86">
      <w:pPr>
        <w:spacing w:after="0" w:line="240" w:lineRule="auto"/>
        <w:rPr>
          <w:b/>
          <w:lang w:val="de-DE"/>
        </w:rPr>
      </w:pPr>
      <w:r w:rsidRPr="00977549">
        <w:rPr>
          <w:b/>
          <w:lang w:val="de-DE"/>
        </w:rPr>
        <w:t xml:space="preserve">Fälle in Streitigkeiten über geistige Eigentumsrechte, </w:t>
      </w:r>
    </w:p>
    <w:p w14:paraId="243A6195" w14:textId="1CBC5B61" w:rsidR="009338D0" w:rsidRPr="00977549" w:rsidRDefault="009338D0" w:rsidP="00691F86">
      <w:pPr>
        <w:spacing w:after="0" w:line="240" w:lineRule="auto"/>
        <w:rPr>
          <w:b/>
          <w:lang w:val="de-DE"/>
        </w:rPr>
      </w:pPr>
      <w:r w:rsidRPr="00977549">
        <w:rPr>
          <w:b/>
          <w:lang w:val="de-DE"/>
        </w:rPr>
        <w:t>darunter:; bezüglich der Marke (eine Marke für Waren und Dienstleistungen).</w:t>
      </w:r>
    </w:p>
    <w:p w14:paraId="6EBE67E5" w14:textId="77777777" w:rsidR="009338D0" w:rsidRPr="00977549" w:rsidRDefault="009338D0" w:rsidP="00691F86">
      <w:pPr>
        <w:spacing w:after="0" w:line="240" w:lineRule="auto"/>
        <w:rPr>
          <w:lang w:val="de-DE"/>
        </w:rPr>
      </w:pPr>
      <w:r w:rsidRPr="00977549">
        <w:rPr>
          <w:lang w:val="de-DE"/>
        </w:rPr>
        <w:t xml:space="preserve">Vom Gericht übermittelt: </w:t>
      </w:r>
      <w:r w:rsidRPr="00977549">
        <w:rPr>
          <w:b/>
          <w:lang w:val="de-DE"/>
        </w:rPr>
        <w:t>keine Angabe</w:t>
      </w:r>
      <w:r w:rsidRPr="00977549">
        <w:rPr>
          <w:lang w:val="de-DE"/>
        </w:rPr>
        <w:t xml:space="preserve">. Registriert: </w:t>
      </w:r>
      <w:r w:rsidRPr="00977549">
        <w:rPr>
          <w:b/>
          <w:lang w:val="de-DE"/>
        </w:rPr>
        <w:t>29.07.2023.</w:t>
      </w:r>
      <w:r w:rsidRPr="00977549">
        <w:rPr>
          <w:lang w:val="de-DE"/>
        </w:rPr>
        <w:t xml:space="preserve"> Veröffentlicht: </w:t>
      </w:r>
      <w:r w:rsidRPr="00977549">
        <w:rPr>
          <w:b/>
          <w:lang w:val="de-DE"/>
        </w:rPr>
        <w:t>31.07.2023.</w:t>
      </w:r>
    </w:p>
    <w:p w14:paraId="19A4A312" w14:textId="77777777" w:rsidR="009338D0" w:rsidRPr="00977549" w:rsidRDefault="009338D0" w:rsidP="00691F86">
      <w:pPr>
        <w:spacing w:after="0" w:line="240" w:lineRule="auto"/>
        <w:rPr>
          <w:lang w:val="de-DE"/>
        </w:rPr>
      </w:pPr>
      <w:r w:rsidRPr="00977549">
        <w:rPr>
          <w:lang w:val="de-DE"/>
        </w:rPr>
        <w:t xml:space="preserve">Datum des Inkrafttretens: </w:t>
      </w:r>
      <w:r w:rsidRPr="00977549">
        <w:rPr>
          <w:b/>
          <w:lang w:val="de-DE"/>
        </w:rPr>
        <w:t>17.07.2023</w:t>
      </w:r>
    </w:p>
    <w:p w14:paraId="5C10AC26" w14:textId="77777777" w:rsidR="009338D0" w:rsidRDefault="009338D0" w:rsidP="00691F86">
      <w:pPr>
        <w:spacing w:after="0" w:line="240" w:lineRule="auto"/>
        <w:rPr>
          <w:b/>
          <w:lang w:val="uk-UA"/>
        </w:rPr>
      </w:pPr>
      <w:r w:rsidRPr="00977549">
        <w:rPr>
          <w:lang w:val="de-DE"/>
        </w:rPr>
        <w:t xml:space="preserve">Nummer des Gerichtsverfahrens: </w:t>
      </w:r>
      <w:r w:rsidRPr="00977549">
        <w:rPr>
          <w:b/>
          <w:lang w:val="de-DE"/>
        </w:rPr>
        <w:t>nicht ermittelt</w:t>
      </w:r>
    </w:p>
    <w:p w14:paraId="184415F6" w14:textId="77777777" w:rsidR="00691F86" w:rsidRPr="00691F86" w:rsidRDefault="00691F86" w:rsidP="00691F86">
      <w:pPr>
        <w:spacing w:after="0" w:line="240" w:lineRule="auto"/>
        <w:rPr>
          <w:lang w:val="uk-UA"/>
        </w:rPr>
      </w:pPr>
    </w:p>
    <w:p w14:paraId="17D1749D" w14:textId="4FA3ECCC" w:rsidR="00AA39A2" w:rsidRDefault="00DF5337" w:rsidP="00AA39A2">
      <w:pPr>
        <w:pStyle w:val="berschrift3"/>
        <w:numPr>
          <w:ilvl w:val="2"/>
          <w:numId w:val="8"/>
        </w:numPr>
        <w:jc w:val="center"/>
        <w:rPr>
          <w:sz w:val="28"/>
          <w:szCs w:val="28"/>
        </w:rPr>
      </w:pPr>
      <w:r>
        <w:rPr>
          <w:b w:val="0"/>
          <w:bCs w:val="0"/>
          <w:i/>
          <w:iCs/>
          <w:sz w:val="24"/>
          <w:szCs w:val="24"/>
          <w:lang w:val="en-US"/>
        </w:rPr>
        <w:t>&lt;</w:t>
      </w:r>
      <w:r w:rsidR="00AA39A2">
        <w:rPr>
          <w:b w:val="0"/>
          <w:bCs w:val="0"/>
          <w:i/>
          <w:iCs/>
          <w:sz w:val="24"/>
          <w:szCs w:val="24"/>
        </w:rPr>
        <w:t>Staatswappen der Ukraine</w:t>
      </w:r>
      <w:r>
        <w:rPr>
          <w:b w:val="0"/>
          <w:bCs w:val="0"/>
          <w:i/>
          <w:iCs/>
          <w:sz w:val="24"/>
          <w:szCs w:val="24"/>
          <w:lang w:val="en-US"/>
        </w:rPr>
        <w:t>&gt;</w:t>
      </w:r>
    </w:p>
    <w:p w14:paraId="597379DC" w14:textId="77777777" w:rsidR="00AA39A2" w:rsidRDefault="00AA39A2" w:rsidP="00174756">
      <w:pPr>
        <w:jc w:val="center"/>
        <w:rPr>
          <w:b/>
          <w:lang w:val="uk-UA"/>
        </w:rPr>
      </w:pPr>
    </w:p>
    <w:p w14:paraId="205756EE" w14:textId="77777777" w:rsidR="00D64235" w:rsidRPr="00691F86" w:rsidRDefault="00D64235" w:rsidP="00174756">
      <w:pPr>
        <w:jc w:val="center"/>
        <w:rPr>
          <w:b/>
          <w:sz w:val="24"/>
          <w:szCs w:val="24"/>
          <w:lang w:val="de-DE"/>
        </w:rPr>
      </w:pPr>
      <w:r w:rsidRPr="00691F86">
        <w:rPr>
          <w:b/>
          <w:sz w:val="24"/>
          <w:szCs w:val="24"/>
          <w:lang w:val="de-DE"/>
        </w:rPr>
        <w:t>URTEIL</w:t>
      </w:r>
    </w:p>
    <w:p w14:paraId="367B0B80" w14:textId="77777777" w:rsidR="00D64235" w:rsidRPr="00977549" w:rsidRDefault="00D64235" w:rsidP="00174756">
      <w:pPr>
        <w:jc w:val="center"/>
        <w:rPr>
          <w:b/>
          <w:lang w:val="de-DE"/>
        </w:rPr>
      </w:pPr>
      <w:r w:rsidRPr="00977549">
        <w:rPr>
          <w:b/>
          <w:lang w:val="de-DE"/>
        </w:rPr>
        <w:t>IM NAMEN DER UKRAINE</w:t>
      </w:r>
    </w:p>
    <w:p w14:paraId="29750CCF" w14:textId="77777777" w:rsidR="00D64235" w:rsidRPr="00977549" w:rsidRDefault="00174756" w:rsidP="001E143E">
      <w:pPr>
        <w:spacing w:after="0"/>
        <w:rPr>
          <w:lang w:val="de-DE"/>
        </w:rPr>
      </w:pPr>
      <w:r w:rsidRPr="00977549">
        <w:rPr>
          <w:lang w:val="de-DE"/>
        </w:rPr>
        <w:t xml:space="preserve">                                                                                                                                             </w:t>
      </w:r>
      <w:r w:rsidR="00D64235" w:rsidRPr="00977549">
        <w:rPr>
          <w:lang w:val="de-DE"/>
        </w:rPr>
        <w:t>17. Juli 2023, Kiew</w:t>
      </w:r>
    </w:p>
    <w:p w14:paraId="0A793CD7" w14:textId="77777777" w:rsidR="00D64235" w:rsidRPr="00977549" w:rsidRDefault="00174756" w:rsidP="001E143E">
      <w:pPr>
        <w:spacing w:after="0"/>
        <w:rPr>
          <w:lang w:val="de-DE"/>
        </w:rPr>
      </w:pPr>
      <w:r w:rsidRPr="00977549">
        <w:rPr>
          <w:lang w:val="de-DE"/>
        </w:rPr>
        <w:t xml:space="preserve">                                                                                                                                   Fall Nr. 757/32671/17-</w:t>
      </w:r>
      <w:r w:rsidRPr="000D36B7">
        <w:rPr>
          <w:color w:val="FF0000"/>
          <w:lang w:val="de-DE"/>
        </w:rPr>
        <w:t>z</w:t>
      </w:r>
    </w:p>
    <w:p w14:paraId="681FBD33" w14:textId="77777777" w:rsidR="00FA1372" w:rsidRPr="00977549" w:rsidRDefault="00174756" w:rsidP="001E143E">
      <w:pPr>
        <w:spacing w:after="0"/>
        <w:rPr>
          <w:lang w:val="de-DE"/>
        </w:rPr>
      </w:pPr>
      <w:r w:rsidRPr="00977549">
        <w:rPr>
          <w:lang w:val="de-DE"/>
        </w:rPr>
        <w:t xml:space="preserve">                                                                                               Berufungsverfahren Nr. 22</w:t>
      </w:r>
      <w:r w:rsidRPr="00DE0D9A">
        <w:rPr>
          <w:lang w:val="de-DE"/>
        </w:rPr>
        <w:t>-z</w:t>
      </w:r>
      <w:r w:rsidR="00D64235" w:rsidRPr="00977549">
        <w:rPr>
          <w:lang w:val="de-DE"/>
        </w:rPr>
        <w:t>/824/4696/2023</w:t>
      </w:r>
    </w:p>
    <w:p w14:paraId="24AA371A" w14:textId="77777777" w:rsidR="00D64235" w:rsidRPr="00977549" w:rsidRDefault="00D64235" w:rsidP="00D64235">
      <w:pPr>
        <w:rPr>
          <w:lang w:val="de-DE"/>
        </w:rPr>
      </w:pPr>
    </w:p>
    <w:p w14:paraId="3110B7AA" w14:textId="16B19882" w:rsidR="00D64235" w:rsidRPr="00977549" w:rsidRDefault="00AF2A4F" w:rsidP="00BA2A37">
      <w:pPr>
        <w:jc w:val="both"/>
        <w:rPr>
          <w:lang w:val="de-DE"/>
        </w:rPr>
      </w:pPr>
      <w:r w:rsidRPr="00977549">
        <w:rPr>
          <w:lang w:val="de-DE"/>
        </w:rPr>
        <w:t xml:space="preserve">Berufungsgericht Kiew, bestehend aus Richtergremium der Gerichtskammer für die Prüfung von Zivilsachen: Berichterstatterin: Sokolova V.V. Richter: </w:t>
      </w:r>
      <w:proofErr w:type="spellStart"/>
      <w:r w:rsidRPr="00977549">
        <w:rPr>
          <w:lang w:val="de-DE"/>
        </w:rPr>
        <w:t>Polishchuk</w:t>
      </w:r>
      <w:proofErr w:type="spellEnd"/>
      <w:r w:rsidRPr="00977549">
        <w:rPr>
          <w:lang w:val="de-DE"/>
        </w:rPr>
        <w:t xml:space="preserve"> </w:t>
      </w:r>
      <w:r w:rsidR="008729A1" w:rsidRPr="00977549">
        <w:rPr>
          <w:lang w:val="de-DE"/>
        </w:rPr>
        <w:t>N.V.,</w:t>
      </w:r>
      <w:r w:rsidRPr="00977549">
        <w:rPr>
          <w:lang w:val="de-DE"/>
        </w:rPr>
        <w:t xml:space="preserve"> </w:t>
      </w:r>
      <w:proofErr w:type="spellStart"/>
      <w:r w:rsidRPr="00977549">
        <w:rPr>
          <w:lang w:val="de-DE"/>
        </w:rPr>
        <w:t>Shkorina</w:t>
      </w:r>
      <w:proofErr w:type="spellEnd"/>
      <w:r w:rsidRPr="00977549">
        <w:rPr>
          <w:lang w:val="de-DE"/>
        </w:rPr>
        <w:t xml:space="preserve"> O.I. unter Beteiligung des Sekretärs </w:t>
      </w:r>
      <w:proofErr w:type="spellStart"/>
      <w:r w:rsidRPr="00DE0D9A">
        <w:rPr>
          <w:lang w:val="de-DE"/>
        </w:rPr>
        <w:t>Fedorchuk</w:t>
      </w:r>
      <w:proofErr w:type="spellEnd"/>
      <w:r w:rsidRPr="00DE0D9A">
        <w:rPr>
          <w:lang w:val="de-DE"/>
        </w:rPr>
        <w:t xml:space="preserve"> </w:t>
      </w:r>
      <w:proofErr w:type="spellStart"/>
      <w:r w:rsidR="00430F9E" w:rsidRPr="00DE0D9A">
        <w:rPr>
          <w:lang w:val="de-DE"/>
        </w:rPr>
        <w:t>Ya</w:t>
      </w:r>
      <w:r w:rsidRPr="00977549">
        <w:rPr>
          <w:lang w:val="de-DE"/>
        </w:rPr>
        <w:t>.S</w:t>
      </w:r>
      <w:proofErr w:type="spellEnd"/>
      <w:r w:rsidRPr="00977549">
        <w:rPr>
          <w:lang w:val="de-DE"/>
        </w:rPr>
        <w:t>.</w:t>
      </w:r>
    </w:p>
    <w:p w14:paraId="06D8405B" w14:textId="6CAD57DC" w:rsidR="008729A1" w:rsidRPr="00977549" w:rsidRDefault="005E1603" w:rsidP="00BA2A37">
      <w:pPr>
        <w:jc w:val="both"/>
        <w:rPr>
          <w:lang w:val="de-DE"/>
        </w:rPr>
      </w:pPr>
      <w:r w:rsidRPr="00977549">
        <w:rPr>
          <w:lang w:val="de-DE"/>
        </w:rPr>
        <w:t xml:space="preserve">In einer öffentlichen Sitzung wurde die Berufung von </w:t>
      </w:r>
      <w:r w:rsidR="00521BA2" w:rsidRPr="00DE0D9A">
        <w:rPr>
          <w:lang w:val="de-DE"/>
        </w:rPr>
        <w:t xml:space="preserve">Gerriet Harms </w:t>
      </w:r>
      <w:r w:rsidRPr="00977549">
        <w:rPr>
          <w:lang w:val="de-DE"/>
        </w:rPr>
        <w:t xml:space="preserve">gegen die Entscheidung des Bezirksgerichts </w:t>
      </w:r>
      <w:proofErr w:type="spellStart"/>
      <w:r w:rsidRPr="00977549">
        <w:rPr>
          <w:lang w:val="de-DE"/>
        </w:rPr>
        <w:t>Petschersk</w:t>
      </w:r>
      <w:proofErr w:type="spellEnd"/>
      <w:r w:rsidRPr="00977549">
        <w:rPr>
          <w:lang w:val="de-DE"/>
        </w:rPr>
        <w:t xml:space="preserve"> in Kiew geprüft, die unter dem Vorsitz des Richters V</w:t>
      </w:r>
      <w:r w:rsidR="00BA2A37">
        <w:rPr>
          <w:lang w:val="de-DE"/>
        </w:rPr>
        <w:t>.</w:t>
      </w:r>
      <w:r w:rsidRPr="00977549">
        <w:rPr>
          <w:lang w:val="de-DE"/>
        </w:rPr>
        <w:t>V</w:t>
      </w:r>
      <w:r w:rsidR="00BA2A37">
        <w:rPr>
          <w:lang w:val="de-DE"/>
        </w:rPr>
        <w:t>.</w:t>
      </w:r>
      <w:r w:rsidRPr="00977549">
        <w:rPr>
          <w:lang w:val="de-DE"/>
        </w:rPr>
        <w:t xml:space="preserve"> </w:t>
      </w:r>
      <w:proofErr w:type="spellStart"/>
      <w:r w:rsidRPr="00977549">
        <w:rPr>
          <w:lang w:val="de-DE"/>
        </w:rPr>
        <w:t>Pidpaly</w:t>
      </w:r>
      <w:proofErr w:type="spellEnd"/>
      <w:r w:rsidRPr="00977549">
        <w:rPr>
          <w:lang w:val="de-DE"/>
        </w:rPr>
        <w:t xml:space="preserve"> am 24. November 2020 in Kiew erlassen wurde. Das Datum des vollständigen Wortlauts der Entscheidung ist nicht </w:t>
      </w:r>
      <w:r w:rsidR="00374B5A" w:rsidRPr="00977549">
        <w:rPr>
          <w:lang w:val="de-DE"/>
        </w:rPr>
        <w:t>angegeben</w:t>
      </w:r>
      <w:r w:rsidR="008729A1" w:rsidRPr="00977549">
        <w:rPr>
          <w:lang w:val="de-DE"/>
        </w:rPr>
        <w:t>.</w:t>
      </w:r>
      <w:r w:rsidRPr="00977549">
        <w:rPr>
          <w:lang w:val="de-DE"/>
        </w:rPr>
        <w:t xml:space="preserve"> </w:t>
      </w:r>
      <w:r w:rsidR="008729A1" w:rsidRPr="00977549">
        <w:rPr>
          <w:lang w:val="de-DE"/>
        </w:rPr>
        <w:t>I</w:t>
      </w:r>
      <w:r w:rsidRPr="00977549">
        <w:rPr>
          <w:lang w:val="de-DE"/>
        </w:rPr>
        <w:t xml:space="preserve">m Fall der Klage des Forest Stewardship Council </w:t>
      </w:r>
    </w:p>
    <w:p w14:paraId="213F1170" w14:textId="77777777" w:rsidR="008729A1" w:rsidRPr="00977549" w:rsidRDefault="008729A1" w:rsidP="00D64235">
      <w:pPr>
        <w:rPr>
          <w:lang w:val="de-DE"/>
        </w:rPr>
      </w:pPr>
      <w:r w:rsidRPr="00DE0D9A">
        <w:rPr>
          <w:lang w:val="de-DE"/>
        </w:rPr>
        <w:t>gegen</w:t>
      </w:r>
      <w:r w:rsidR="005E1603" w:rsidRPr="00DE0D9A">
        <w:rPr>
          <w:lang w:val="de-DE"/>
        </w:rPr>
        <w:t xml:space="preserve"> </w:t>
      </w:r>
      <w:r w:rsidR="00521BA2" w:rsidRPr="00DE0D9A">
        <w:rPr>
          <w:lang w:val="de-DE"/>
        </w:rPr>
        <w:t>Gerriet Harms</w:t>
      </w:r>
      <w:r w:rsidR="005E1603" w:rsidRPr="00977549">
        <w:rPr>
          <w:lang w:val="de-DE"/>
        </w:rPr>
        <w:t xml:space="preserve">, </w:t>
      </w:r>
    </w:p>
    <w:p w14:paraId="31983B85" w14:textId="77777777" w:rsidR="008729A1" w:rsidRPr="00977549" w:rsidRDefault="008729A1" w:rsidP="00BA2A37">
      <w:pPr>
        <w:jc w:val="both"/>
        <w:rPr>
          <w:lang w:val="de-DE"/>
        </w:rPr>
      </w:pPr>
      <w:r w:rsidRPr="00977549">
        <w:rPr>
          <w:lang w:val="de-DE"/>
        </w:rPr>
        <w:t>gegen</w:t>
      </w:r>
      <w:r w:rsidR="005E1603" w:rsidRPr="00977549">
        <w:rPr>
          <w:lang w:val="de-DE"/>
        </w:rPr>
        <w:t xml:space="preserve"> das Ministerium für wirtschaftliche Entwicklung und Handel der Ukraine, dessen Rechtsnachfolger die staatliche Organisation „Ukrainisches Nationalamt für geistiges Eigentum und Innovation“ ist, </w:t>
      </w:r>
    </w:p>
    <w:p w14:paraId="0B553B05" w14:textId="44E7CA8B" w:rsidR="00AF2A4F" w:rsidRPr="00977549" w:rsidRDefault="005E1603" w:rsidP="009A5638">
      <w:pPr>
        <w:jc w:val="both"/>
        <w:rPr>
          <w:lang w:val="de-DE"/>
        </w:rPr>
      </w:pPr>
      <w:r w:rsidRPr="00977549">
        <w:rPr>
          <w:lang w:val="de-DE"/>
        </w:rPr>
        <w:t xml:space="preserve">über die vorzeitige Beendigung des Zertifikats und der Verpflichtung </w:t>
      </w:r>
      <w:r w:rsidR="008729A1" w:rsidRPr="00977549">
        <w:rPr>
          <w:lang w:val="de-DE"/>
        </w:rPr>
        <w:t>e</w:t>
      </w:r>
      <w:r w:rsidRPr="00977549">
        <w:rPr>
          <w:lang w:val="de-DE"/>
        </w:rPr>
        <w:t xml:space="preserve">ntsprechende Maßnahmen zu </w:t>
      </w:r>
      <w:r w:rsidR="00374B5A" w:rsidRPr="00977549">
        <w:rPr>
          <w:lang w:val="de-DE"/>
        </w:rPr>
        <w:t>ergreifen,</w:t>
      </w:r>
      <w:r w:rsidR="00513EF8" w:rsidRPr="00977549">
        <w:rPr>
          <w:lang w:val="de-DE"/>
        </w:rPr>
        <w:t xml:space="preserve"> </w:t>
      </w:r>
      <w:r w:rsidR="00465F00" w:rsidRPr="00977549">
        <w:rPr>
          <w:lang w:val="de-DE"/>
        </w:rPr>
        <w:t xml:space="preserve">hat </w:t>
      </w:r>
      <w:r w:rsidR="008729A1" w:rsidRPr="00977549">
        <w:rPr>
          <w:lang w:val="de-DE"/>
        </w:rPr>
        <w:t>wird</w:t>
      </w:r>
    </w:p>
    <w:p w14:paraId="5FC5EFED" w14:textId="77777777" w:rsidR="005E1603" w:rsidRPr="00977549" w:rsidRDefault="005E1603" w:rsidP="005E1603">
      <w:pPr>
        <w:rPr>
          <w:b/>
          <w:lang w:val="de-DE"/>
        </w:rPr>
      </w:pPr>
      <w:r w:rsidRPr="00977549">
        <w:rPr>
          <w:b/>
          <w:lang w:val="de-DE"/>
        </w:rPr>
        <w:t xml:space="preserve">                                                                               </w:t>
      </w:r>
      <w:r w:rsidR="00465F00" w:rsidRPr="00977549">
        <w:rPr>
          <w:b/>
          <w:lang w:val="de-DE"/>
        </w:rPr>
        <w:t>FESTGESTELLT</w:t>
      </w:r>
      <w:r w:rsidRPr="00977549">
        <w:rPr>
          <w:b/>
          <w:lang w:val="de-DE"/>
        </w:rPr>
        <w:t xml:space="preserve"> </w:t>
      </w:r>
    </w:p>
    <w:p w14:paraId="47925161" w14:textId="65CDEA79" w:rsidR="0060404B" w:rsidRPr="00977549" w:rsidRDefault="0060404B" w:rsidP="007B3BBB">
      <w:pPr>
        <w:jc w:val="both"/>
        <w:rPr>
          <w:lang w:val="de-DE"/>
        </w:rPr>
      </w:pPr>
      <w:r w:rsidRPr="00977549">
        <w:rPr>
          <w:lang w:val="de-DE"/>
        </w:rPr>
        <w:t xml:space="preserve">Im Juni </w:t>
      </w:r>
      <w:r w:rsidR="00C90101" w:rsidRPr="00977549">
        <w:rPr>
          <w:lang w:val="de-DE"/>
        </w:rPr>
        <w:t>2017 legte</w:t>
      </w:r>
      <w:r w:rsidR="00465F00" w:rsidRPr="00977549">
        <w:rPr>
          <w:lang w:val="de-DE"/>
        </w:rPr>
        <w:t xml:space="preserve"> </w:t>
      </w:r>
      <w:r w:rsidRPr="00977549">
        <w:rPr>
          <w:lang w:val="de-DE"/>
        </w:rPr>
        <w:t>der Forest Stewardship Council A.</w:t>
      </w:r>
      <w:r w:rsidR="008729A1" w:rsidRPr="00977549">
        <w:rPr>
          <w:lang w:val="de-DE"/>
        </w:rPr>
        <w:t>C</w:t>
      </w:r>
      <w:r w:rsidRPr="00977549">
        <w:rPr>
          <w:lang w:val="de-DE"/>
        </w:rPr>
        <w:t>. mit der oben genannten Klage beim Gericht erster Instanz ein und beantragte:</w:t>
      </w:r>
    </w:p>
    <w:p w14:paraId="5348E0DC" w14:textId="49FE49B6" w:rsidR="005E1603" w:rsidRPr="00977549" w:rsidRDefault="0060404B" w:rsidP="009A5638">
      <w:pPr>
        <w:pStyle w:val="Listenabsatz"/>
        <w:numPr>
          <w:ilvl w:val="0"/>
          <w:numId w:val="1"/>
        </w:numPr>
        <w:jc w:val="both"/>
        <w:rPr>
          <w:lang w:val="de-DE"/>
        </w:rPr>
      </w:pPr>
      <w:r w:rsidRPr="00977549">
        <w:rPr>
          <w:lang w:val="de-DE"/>
        </w:rPr>
        <w:lastRenderedPageBreak/>
        <w:t xml:space="preserve">die Gültigkeit des Zertifikats der Ukraine für das Waren- und Dienstleistungszeichen Nr. </w:t>
      </w:r>
      <w:r w:rsidR="00B724BC">
        <w:rPr>
          <w:lang w:val="de-DE"/>
        </w:rPr>
        <w:t>176574</w:t>
      </w:r>
      <w:r w:rsidRPr="00977549">
        <w:rPr>
          <w:lang w:val="de-DE"/>
        </w:rPr>
        <w:t xml:space="preserve">vorzeitig vollständig </w:t>
      </w:r>
      <w:r w:rsidR="00465F00" w:rsidRPr="00977549">
        <w:rPr>
          <w:lang w:val="de-DE"/>
        </w:rPr>
        <w:t xml:space="preserve">zu </w:t>
      </w:r>
      <w:r w:rsidRPr="00977549">
        <w:rPr>
          <w:lang w:val="de-DE"/>
        </w:rPr>
        <w:t>beenden;</w:t>
      </w:r>
    </w:p>
    <w:p w14:paraId="5F9C15B5" w14:textId="3B7A7F31" w:rsidR="00C90101" w:rsidRPr="00977549" w:rsidRDefault="00EE6DF5" w:rsidP="009A5638">
      <w:pPr>
        <w:pStyle w:val="Listenabsatz"/>
        <w:numPr>
          <w:ilvl w:val="0"/>
          <w:numId w:val="1"/>
        </w:numPr>
        <w:jc w:val="both"/>
        <w:rPr>
          <w:lang w:val="de-DE"/>
        </w:rPr>
      </w:pPr>
      <w:r w:rsidRPr="00977549">
        <w:rPr>
          <w:lang w:val="de-DE"/>
        </w:rPr>
        <w:t xml:space="preserve">das Ministerium für wirtschaftliche Entwicklung und Handel der Ukraine zu verpflichten, im offiziellen Bulletin „Gewerbliches Eigentum“ über die vorzeitige Beendigung des Zertifikats der Ukraine für die Marke für Waren und Dienstleistungen Nr. </w:t>
      </w:r>
      <w:r w:rsidR="00B724BC">
        <w:rPr>
          <w:lang w:val="de-DE"/>
        </w:rPr>
        <w:t>176574</w:t>
      </w:r>
      <w:r w:rsidRPr="00977549">
        <w:rPr>
          <w:lang w:val="de-DE"/>
        </w:rPr>
        <w:t>vollständig zu informieren</w:t>
      </w:r>
    </w:p>
    <w:p w14:paraId="2DE743F8" w14:textId="51CC4A9E" w:rsidR="005E1603" w:rsidRPr="00977549" w:rsidRDefault="00EE6DF5" w:rsidP="009A5638">
      <w:pPr>
        <w:pStyle w:val="Listenabsatz"/>
        <w:numPr>
          <w:ilvl w:val="0"/>
          <w:numId w:val="1"/>
        </w:numPr>
        <w:jc w:val="both"/>
        <w:rPr>
          <w:lang w:val="de-DE"/>
        </w:rPr>
      </w:pPr>
      <w:r w:rsidRPr="00977549">
        <w:rPr>
          <w:lang w:val="de-DE"/>
        </w:rPr>
        <w:t xml:space="preserve">und </w:t>
      </w:r>
      <w:proofErr w:type="spellStart"/>
      <w:r w:rsidRPr="00977549">
        <w:rPr>
          <w:lang w:val="de-DE"/>
        </w:rPr>
        <w:t>ueber</w:t>
      </w:r>
      <w:proofErr w:type="spellEnd"/>
      <w:r w:rsidRPr="00977549">
        <w:rPr>
          <w:lang w:val="de-DE"/>
        </w:rPr>
        <w:t xml:space="preserve"> vorzeitige Beendigung des Zertifikats der Ukraine für Waren und Dienstleistungen Nr. </w:t>
      </w:r>
      <w:r w:rsidR="00B724BC">
        <w:rPr>
          <w:lang w:val="de-DE"/>
        </w:rPr>
        <w:t>176574</w:t>
      </w:r>
      <w:r w:rsidRPr="00977549">
        <w:rPr>
          <w:lang w:val="de-DE"/>
        </w:rPr>
        <w:t>im vollen Umfang entsprechende Änderungen am staatlichen Register der Zertifikate der Ukraine für Waren und Dienstleistungen vorzunehmen.</w:t>
      </w:r>
    </w:p>
    <w:p w14:paraId="1C275817" w14:textId="27A9151A" w:rsidR="005E1603" w:rsidRPr="00977549" w:rsidRDefault="00881970" w:rsidP="009A5638">
      <w:pPr>
        <w:jc w:val="both"/>
        <w:rPr>
          <w:lang w:val="de-DE"/>
        </w:rPr>
      </w:pPr>
      <w:r w:rsidRPr="00977549">
        <w:rPr>
          <w:lang w:val="de-DE"/>
        </w:rPr>
        <w:t xml:space="preserve">Die Ansprüche werden dadurch begründet, dass der </w:t>
      </w:r>
      <w:r w:rsidRPr="00DE0D9A">
        <w:rPr>
          <w:lang w:val="de-DE"/>
        </w:rPr>
        <w:t xml:space="preserve">Beklagte </w:t>
      </w:r>
      <w:r w:rsidR="00521BA2" w:rsidRPr="00DE0D9A">
        <w:rPr>
          <w:lang w:val="de-DE"/>
        </w:rPr>
        <w:t>Gerriet Harms</w:t>
      </w:r>
      <w:r w:rsidR="00C90101" w:rsidRPr="00DE0D9A">
        <w:rPr>
          <w:lang w:val="de-DE"/>
        </w:rPr>
        <w:t xml:space="preserve"> </w:t>
      </w:r>
      <w:r w:rsidRPr="00DE0D9A">
        <w:rPr>
          <w:lang w:val="de-DE"/>
        </w:rPr>
        <w:t xml:space="preserve">Inhaber </w:t>
      </w:r>
      <w:r w:rsidRPr="00977549">
        <w:rPr>
          <w:lang w:val="de-DE"/>
        </w:rPr>
        <w:t xml:space="preserve">des ukrainischen Zertifikats </w:t>
      </w:r>
      <w:r w:rsidRPr="00DE0D9A">
        <w:rPr>
          <w:lang w:val="de-DE"/>
        </w:rPr>
        <w:t xml:space="preserve">Nr. </w:t>
      </w:r>
      <w:r w:rsidR="00374B5A" w:rsidRPr="00DE0D9A">
        <w:rPr>
          <w:lang w:val="de-DE"/>
        </w:rPr>
        <w:t>176574</w:t>
      </w:r>
      <w:r w:rsidRPr="00DE0D9A">
        <w:rPr>
          <w:lang w:val="de-DE"/>
        </w:rPr>
        <w:t xml:space="preserve"> für die Waren- und Dienstleistungsmarke „</w:t>
      </w:r>
      <w:r w:rsidR="00374B5A" w:rsidRPr="00DE0D9A">
        <w:rPr>
          <w:lang w:val="de-DE"/>
        </w:rPr>
        <w:t>FSC</w:t>
      </w:r>
      <w:r w:rsidR="00521BA2" w:rsidRPr="00DE0D9A">
        <w:rPr>
          <w:lang w:val="de-DE"/>
        </w:rPr>
        <w:t>“ vom</w:t>
      </w:r>
      <w:r w:rsidRPr="00DE0D9A">
        <w:rPr>
          <w:lang w:val="de-DE"/>
        </w:rPr>
        <w:t xml:space="preserve"> 25. September 2013</w:t>
      </w:r>
      <w:r w:rsidR="008729A1" w:rsidRPr="00DE0D9A">
        <w:rPr>
          <w:lang w:val="de-DE"/>
        </w:rPr>
        <w:t xml:space="preserve"> </w:t>
      </w:r>
      <w:r w:rsidRPr="00DE0D9A">
        <w:rPr>
          <w:lang w:val="de-DE"/>
        </w:rPr>
        <w:t xml:space="preserve">ist. Die Marke für Waren und Dienstleistungen ist für die Waren 19, 31, 35 der </w:t>
      </w:r>
      <w:r w:rsidR="00374B5A" w:rsidRPr="00DE0D9A">
        <w:rPr>
          <w:lang w:val="de-DE"/>
        </w:rPr>
        <w:t xml:space="preserve">Nizza </w:t>
      </w:r>
      <w:r w:rsidRPr="00DE0D9A">
        <w:rPr>
          <w:lang w:val="de-DE"/>
        </w:rPr>
        <w:t xml:space="preserve">Klasse eingetragen. Allerdings habe der Beklagte </w:t>
      </w:r>
      <w:r w:rsidR="00521BA2" w:rsidRPr="00DE0D9A">
        <w:rPr>
          <w:lang w:val="de-DE"/>
        </w:rPr>
        <w:t>Gerriet Harms</w:t>
      </w:r>
      <w:r w:rsidR="00C90101" w:rsidRPr="00DE0D9A">
        <w:rPr>
          <w:lang w:val="de-DE"/>
        </w:rPr>
        <w:t xml:space="preserve"> </w:t>
      </w:r>
      <w:r w:rsidRPr="00DE0D9A">
        <w:rPr>
          <w:lang w:val="de-DE"/>
        </w:rPr>
        <w:t>in den letzten drei Jahren die Marke für Waren und Dienstleistungen „</w:t>
      </w:r>
      <w:r w:rsidR="00374B5A" w:rsidRPr="00DE0D9A">
        <w:rPr>
          <w:lang w:val="de-DE"/>
        </w:rPr>
        <w:t>FSC</w:t>
      </w:r>
      <w:r w:rsidRPr="00DE0D9A">
        <w:rPr>
          <w:lang w:val="de-DE"/>
        </w:rPr>
        <w:t xml:space="preserve">“ nicht </w:t>
      </w:r>
      <w:r w:rsidR="00521BA2" w:rsidRPr="00DE0D9A">
        <w:rPr>
          <w:lang w:val="de-DE"/>
        </w:rPr>
        <w:t>verwendet,</w:t>
      </w:r>
      <w:r w:rsidRPr="00DE0D9A">
        <w:rPr>
          <w:lang w:val="de-DE"/>
        </w:rPr>
        <w:t xml:space="preserve"> gemäß dem Zertifikat der Ukraine Nr. </w:t>
      </w:r>
      <w:r w:rsidR="00374B5A" w:rsidRPr="00DE0D9A">
        <w:rPr>
          <w:lang w:val="de-DE"/>
        </w:rPr>
        <w:t>176574</w:t>
      </w:r>
      <w:r w:rsidRPr="00DE0D9A">
        <w:rPr>
          <w:lang w:val="de-DE"/>
        </w:rPr>
        <w:t xml:space="preserve"> in </w:t>
      </w:r>
      <w:r w:rsidRPr="00977549">
        <w:rPr>
          <w:lang w:val="de-DE"/>
        </w:rPr>
        <w:t>einer Weise, die als Verwendung einer Marke laut dem Gesetz der Ukraine „Über den Schutz der Rechte an Marken für Waren und Dienstleistungen“ anerkannt ist.</w:t>
      </w:r>
    </w:p>
    <w:p w14:paraId="2C6B1969" w14:textId="6E71E4D3" w:rsidR="00881970" w:rsidRPr="00DE0D9A" w:rsidRDefault="00521BA2" w:rsidP="00C74990">
      <w:pPr>
        <w:jc w:val="both"/>
        <w:rPr>
          <w:lang w:val="de-DE"/>
        </w:rPr>
      </w:pPr>
      <w:r w:rsidRPr="00977549">
        <w:rPr>
          <w:lang w:val="de-DE"/>
        </w:rPr>
        <w:t xml:space="preserve">Der </w:t>
      </w:r>
      <w:r w:rsidR="00575904" w:rsidRPr="00977549">
        <w:rPr>
          <w:lang w:val="de-DE"/>
        </w:rPr>
        <w:t xml:space="preserve">Kläger weist darauf hin, dass das Vorhandensein eines eingetragenen Zeichens gemäß Zertifikat Nr. </w:t>
      </w:r>
      <w:r w:rsidR="00374B5A" w:rsidRPr="00DE0D9A">
        <w:rPr>
          <w:lang w:val="de-DE"/>
        </w:rPr>
        <w:t>176574</w:t>
      </w:r>
      <w:r w:rsidR="00575904" w:rsidRPr="00DE0D9A">
        <w:rPr>
          <w:lang w:val="de-DE"/>
        </w:rPr>
        <w:t xml:space="preserve"> ein Hindernis für den Kläger darstellt, ein ähnliches </w:t>
      </w:r>
      <w:r w:rsidR="00374B5A" w:rsidRPr="00DE0D9A">
        <w:rPr>
          <w:lang w:val="de-DE"/>
        </w:rPr>
        <w:t>bzw.</w:t>
      </w:r>
      <w:r w:rsidR="00575904" w:rsidRPr="00DE0D9A">
        <w:rPr>
          <w:lang w:val="de-DE"/>
        </w:rPr>
        <w:t xml:space="preserve"> identisches Zeichen zu registrieren und weiter zu verwenden. Daher beabsichtigt der Kläger mit der Einreichung einer Klage in diesem Fall, sein berechtigtes Interesse am Erwerb der geistigen Eigentumsrechte an der Marke für Waren und Dienstleistungen „</w:t>
      </w:r>
      <w:r w:rsidR="00374B5A" w:rsidRPr="00DE0D9A">
        <w:rPr>
          <w:lang w:val="de-DE"/>
        </w:rPr>
        <w:t>FSC</w:t>
      </w:r>
      <w:r w:rsidR="00575904" w:rsidRPr="00DE0D9A">
        <w:rPr>
          <w:lang w:val="de-DE"/>
        </w:rPr>
        <w:t>“ und deren weitere Nutzung auf dem Territorium der Ukraine zu schützen.</w:t>
      </w:r>
    </w:p>
    <w:p w14:paraId="23BAADAF" w14:textId="448208AE" w:rsidR="001F12E6" w:rsidRPr="00DE0D9A" w:rsidRDefault="001F12E6" w:rsidP="0089381E">
      <w:pPr>
        <w:jc w:val="both"/>
        <w:rPr>
          <w:lang w:val="de-DE"/>
        </w:rPr>
      </w:pPr>
      <w:r w:rsidRPr="00DE0D9A">
        <w:rPr>
          <w:lang w:val="de-DE"/>
        </w:rPr>
        <w:t xml:space="preserve">Mit der Entscheidung des Bezirksgerichts </w:t>
      </w:r>
      <w:proofErr w:type="spellStart"/>
      <w:r w:rsidRPr="00DE0D9A">
        <w:rPr>
          <w:lang w:val="de-DE"/>
        </w:rPr>
        <w:t>Pechersk</w:t>
      </w:r>
      <w:proofErr w:type="spellEnd"/>
      <w:r w:rsidRPr="00DE0D9A">
        <w:rPr>
          <w:lang w:val="de-DE"/>
        </w:rPr>
        <w:t xml:space="preserve"> in Kiew vom 24. November 2020 wurde der Klage des Forest Stewardship Council gegen </w:t>
      </w:r>
      <w:r w:rsidR="00521BA2" w:rsidRPr="00DE0D9A">
        <w:rPr>
          <w:lang w:val="de-DE"/>
        </w:rPr>
        <w:t>Gerriet Harms</w:t>
      </w:r>
      <w:r w:rsidR="00374B5A" w:rsidRPr="00DE0D9A">
        <w:rPr>
          <w:lang w:val="de-DE"/>
        </w:rPr>
        <w:t xml:space="preserve"> und</w:t>
      </w:r>
      <w:r w:rsidRPr="00DE0D9A">
        <w:rPr>
          <w:lang w:val="de-DE"/>
        </w:rPr>
        <w:t xml:space="preserve"> dem Ministerium für wirtschaftliche Entwicklung und Handel der Ukraine, wegen vorzeitiger Beendigung des Zertifikats und der Verpflichtung, Maßnahmen zu ergreifen, </w:t>
      </w:r>
      <w:r w:rsidR="008729A1" w:rsidRPr="00DE0D9A">
        <w:rPr>
          <w:lang w:val="de-DE"/>
        </w:rPr>
        <w:t>stattgegeben</w:t>
      </w:r>
      <w:r w:rsidRPr="00DE0D9A">
        <w:rPr>
          <w:lang w:val="de-DE"/>
        </w:rPr>
        <w:t>.</w:t>
      </w:r>
    </w:p>
    <w:p w14:paraId="4BA5D290" w14:textId="7FD6E9E0" w:rsidR="001F12E6" w:rsidRPr="00DE0D9A" w:rsidRDefault="001F12E6" w:rsidP="0089381E">
      <w:pPr>
        <w:jc w:val="both"/>
        <w:rPr>
          <w:lang w:val="de-DE"/>
        </w:rPr>
      </w:pPr>
      <w:r w:rsidRPr="00DE0D9A">
        <w:rPr>
          <w:lang w:val="de-DE"/>
        </w:rPr>
        <w:t xml:space="preserve">Die Gültigkeit des Zertifikats der Ukraine für die Waren- und Dienstleistungsmarke Nr. </w:t>
      </w:r>
      <w:r w:rsidR="00374B5A" w:rsidRPr="00DE0D9A">
        <w:rPr>
          <w:lang w:val="de-DE"/>
        </w:rPr>
        <w:t>176574</w:t>
      </w:r>
      <w:r w:rsidRPr="00DE0D9A">
        <w:rPr>
          <w:lang w:val="de-DE"/>
        </w:rPr>
        <w:t xml:space="preserve"> </w:t>
      </w:r>
      <w:r w:rsidRPr="00977549">
        <w:rPr>
          <w:lang w:val="de-DE"/>
        </w:rPr>
        <w:t xml:space="preserve">wurde </w:t>
      </w:r>
      <w:r w:rsidRPr="00DE0D9A">
        <w:rPr>
          <w:lang w:val="de-DE"/>
        </w:rPr>
        <w:t>vorzeitig beendet.</w:t>
      </w:r>
    </w:p>
    <w:p w14:paraId="338BBCCC" w14:textId="4D45F045" w:rsidR="001F12E6" w:rsidRPr="00DE0D9A" w:rsidRDefault="001F12E6" w:rsidP="0089381E">
      <w:pPr>
        <w:jc w:val="both"/>
        <w:rPr>
          <w:lang w:val="de-DE"/>
        </w:rPr>
      </w:pPr>
      <w:r w:rsidRPr="00DE0D9A">
        <w:rPr>
          <w:lang w:val="de-DE"/>
        </w:rPr>
        <w:t xml:space="preserve">Das Ministerium für wirtschaftliche Entwicklung und Handel der Ukraine </w:t>
      </w:r>
      <w:r w:rsidR="008729A1" w:rsidRPr="00DE0D9A">
        <w:rPr>
          <w:lang w:val="de-DE"/>
        </w:rPr>
        <w:t>wurde</w:t>
      </w:r>
      <w:r w:rsidRPr="00DE0D9A">
        <w:rPr>
          <w:lang w:val="de-DE"/>
        </w:rPr>
        <w:t xml:space="preserve"> verpflichtet, im offiziellen Bulletin „Gewerbliches Eigentum“ über die vorzeitige Beendigung des Zertifikats der Ukraine für die Marke für Waren und Dienstleistungen Nr. </w:t>
      </w:r>
      <w:r w:rsidR="00374B5A" w:rsidRPr="00DE0D9A">
        <w:rPr>
          <w:lang w:val="de-DE"/>
        </w:rPr>
        <w:t>176574</w:t>
      </w:r>
      <w:r w:rsidRPr="00DE0D9A">
        <w:rPr>
          <w:lang w:val="de-DE"/>
        </w:rPr>
        <w:t xml:space="preserve"> vollständig zu informieren.</w:t>
      </w:r>
    </w:p>
    <w:p w14:paraId="74AF0DC9" w14:textId="77777777" w:rsidR="007F6893" w:rsidRPr="00DE0D9A" w:rsidRDefault="001F12E6" w:rsidP="001F12E6">
      <w:pPr>
        <w:rPr>
          <w:lang w:val="de-DE"/>
        </w:rPr>
      </w:pPr>
      <w:r w:rsidRPr="00DE0D9A">
        <w:rPr>
          <w:lang w:val="de-DE"/>
        </w:rPr>
        <w:t xml:space="preserve">Bei vorzeitiger Beendigung des Zertifikats der Ukraine für Waren und Dienstleistungen Nr. </w:t>
      </w:r>
      <w:r w:rsidR="007F6893" w:rsidRPr="00DE0D9A">
        <w:rPr>
          <w:lang w:val="de-DE"/>
        </w:rPr>
        <w:t>176574</w:t>
      </w:r>
    </w:p>
    <w:p w14:paraId="52A393B7" w14:textId="75D5290D" w:rsidR="00705FA9" w:rsidRPr="00DE0D9A" w:rsidRDefault="001F12E6" w:rsidP="007F6893">
      <w:pPr>
        <w:pStyle w:val="Listenabsatz"/>
        <w:numPr>
          <w:ilvl w:val="0"/>
          <w:numId w:val="2"/>
        </w:numPr>
        <w:rPr>
          <w:lang w:val="de-DE"/>
        </w:rPr>
      </w:pPr>
      <w:r w:rsidRPr="00DE0D9A">
        <w:rPr>
          <w:lang w:val="de-DE"/>
        </w:rPr>
        <w:t>in vollem Umfang entsprechende Änderungen am staatlichen Register der Zertifikate der Ukraine für Zeichen für Waren und Dienstleistungen vorzunehmen</w:t>
      </w:r>
      <w:r w:rsidR="007F6893" w:rsidRPr="00DE0D9A">
        <w:rPr>
          <w:lang w:val="de-DE"/>
        </w:rPr>
        <w:t xml:space="preserve"> </w:t>
      </w:r>
      <w:r w:rsidR="008729A1" w:rsidRPr="00DE0D9A">
        <w:rPr>
          <w:lang w:val="de-DE"/>
        </w:rPr>
        <w:t xml:space="preserve">und </w:t>
      </w:r>
      <w:r w:rsidR="00CA0266" w:rsidRPr="00DE0D9A">
        <w:rPr>
          <w:lang w:val="de-DE"/>
        </w:rPr>
        <w:t>v</w:t>
      </w:r>
      <w:r w:rsidR="00705FA9" w:rsidRPr="00DE0D9A">
        <w:rPr>
          <w:lang w:val="de-DE"/>
        </w:rPr>
        <w:t xml:space="preserve">on </w:t>
      </w:r>
      <w:r w:rsidR="00521BA2" w:rsidRPr="00DE0D9A">
        <w:rPr>
          <w:lang w:val="de-DE"/>
        </w:rPr>
        <w:t xml:space="preserve">Gerriet Harms </w:t>
      </w:r>
      <w:r w:rsidR="00705FA9" w:rsidRPr="00DE0D9A">
        <w:rPr>
          <w:lang w:val="de-DE"/>
        </w:rPr>
        <w:t>zugunsten von Forest Stewardship Council A.S.</w:t>
      </w:r>
      <w:r w:rsidR="007F6893" w:rsidRPr="00DE0D9A">
        <w:rPr>
          <w:lang w:val="de-DE"/>
        </w:rPr>
        <w:t xml:space="preserve"> Gerichtsgebühr in Höhe von 1600 UAH einzufordern</w:t>
      </w:r>
    </w:p>
    <w:p w14:paraId="6866B8EE" w14:textId="667645A3" w:rsidR="001F12E6" w:rsidRPr="00DE0D9A" w:rsidRDefault="007F6893" w:rsidP="008F39DA">
      <w:pPr>
        <w:pStyle w:val="Listenabsatz"/>
        <w:numPr>
          <w:ilvl w:val="0"/>
          <w:numId w:val="2"/>
        </w:numPr>
        <w:jc w:val="both"/>
        <w:rPr>
          <w:lang w:val="de-DE"/>
        </w:rPr>
      </w:pPr>
      <w:r w:rsidRPr="00DE0D9A">
        <w:rPr>
          <w:lang w:val="de-DE"/>
        </w:rPr>
        <w:t>von dem</w:t>
      </w:r>
      <w:r w:rsidR="00705FA9" w:rsidRPr="00DE0D9A">
        <w:rPr>
          <w:lang w:val="de-DE"/>
        </w:rPr>
        <w:t xml:space="preserve"> Ministerium für wirtschaftliche Entwicklung und Handel der Ukraine zugunsten des Forest Stewardship Council A.S.. </w:t>
      </w:r>
      <w:r w:rsidR="008729A1" w:rsidRPr="00DE0D9A">
        <w:rPr>
          <w:lang w:val="de-DE"/>
        </w:rPr>
        <w:t xml:space="preserve">eine </w:t>
      </w:r>
      <w:r w:rsidR="00705FA9" w:rsidRPr="00DE0D9A">
        <w:rPr>
          <w:lang w:val="de-DE"/>
        </w:rPr>
        <w:t xml:space="preserve">Gerichtsgebühr in Höhe von 1600 UAH </w:t>
      </w:r>
      <w:r w:rsidRPr="00DE0D9A">
        <w:rPr>
          <w:lang w:val="de-DE"/>
        </w:rPr>
        <w:t>einzufordern</w:t>
      </w:r>
      <w:r w:rsidR="00705FA9" w:rsidRPr="00DE0D9A">
        <w:rPr>
          <w:lang w:val="de-DE"/>
        </w:rPr>
        <w:t>.</w:t>
      </w:r>
    </w:p>
    <w:p w14:paraId="47D1806A" w14:textId="614F0E61" w:rsidR="00705FA9" w:rsidRPr="00DE0D9A" w:rsidRDefault="00AF459E" w:rsidP="008F39DA">
      <w:pPr>
        <w:jc w:val="both"/>
        <w:rPr>
          <w:lang w:val="de-DE"/>
        </w:rPr>
      </w:pPr>
      <w:r w:rsidRPr="00DE0D9A">
        <w:rPr>
          <w:lang w:val="de-DE"/>
        </w:rPr>
        <w:t xml:space="preserve">Begründet wird die Entscheidung des Gerichts damit, dass die Waren- und Dienstleistungsmarke gemäß Zertifikat Nr. </w:t>
      </w:r>
      <w:r w:rsidR="00374B5A" w:rsidRPr="00DE0D9A">
        <w:rPr>
          <w:lang w:val="de-DE"/>
        </w:rPr>
        <w:t>176574</w:t>
      </w:r>
      <w:r w:rsidRPr="00DE0D9A">
        <w:rPr>
          <w:lang w:val="de-DE"/>
        </w:rPr>
        <w:t xml:space="preserve"> für folgende Waren eingetragen ist, deren Liste recht umfangreich ist und sich nicht auf die Herstellung von Waren aus Robinienholz beschränkt. Somit bestehen für </w:t>
      </w:r>
      <w:r w:rsidR="00521BA2" w:rsidRPr="00DE0D9A">
        <w:rPr>
          <w:lang w:val="de-DE"/>
        </w:rPr>
        <w:t>Gerriet Harms</w:t>
      </w:r>
      <w:r w:rsidR="00C90101" w:rsidRPr="00DE0D9A">
        <w:rPr>
          <w:lang w:val="de-DE"/>
        </w:rPr>
        <w:t xml:space="preserve"> </w:t>
      </w:r>
      <w:r w:rsidRPr="00977549">
        <w:rPr>
          <w:lang w:val="de-DE"/>
        </w:rPr>
        <w:t xml:space="preserve">keine Hindernisse bei der Verwendung der Marke für Waren und Dienstleistungen für Waren der Klasse 31 aufgrund von Einfuhrbeschränkungen oder anderen gesetzlich festgelegten Anforderungen an Waren und </w:t>
      </w:r>
      <w:r w:rsidRPr="00977549">
        <w:rPr>
          <w:lang w:val="de-DE"/>
        </w:rPr>
        <w:lastRenderedPageBreak/>
        <w:t>Dienstleistungen. Der Nachweis triftiger Gründe für die Nichtbenutzung der Marke gemäß Zertifikat Nr</w:t>
      </w:r>
      <w:r w:rsidRPr="00DE0D9A">
        <w:rPr>
          <w:lang w:val="de-DE"/>
        </w:rPr>
        <w:t xml:space="preserve">. </w:t>
      </w:r>
      <w:r w:rsidR="00374B5A" w:rsidRPr="00DE0D9A">
        <w:rPr>
          <w:lang w:val="de-DE"/>
        </w:rPr>
        <w:t>176574</w:t>
      </w:r>
      <w:r w:rsidRPr="00DE0D9A">
        <w:rPr>
          <w:lang w:val="de-DE"/>
        </w:rPr>
        <w:t xml:space="preserve"> für Waren der Klasse 19 und Dienstleistungen der Klasse 35 wurde von der Beklagten dem Gericht nicht vorgelegt.</w:t>
      </w:r>
    </w:p>
    <w:p w14:paraId="4B38494F" w14:textId="79A1A567" w:rsidR="00AF459E" w:rsidRPr="00DE0D9A" w:rsidRDefault="00AA685F" w:rsidP="008F39DA">
      <w:pPr>
        <w:jc w:val="both"/>
        <w:rPr>
          <w:lang w:val="de-DE"/>
        </w:rPr>
      </w:pPr>
      <w:r w:rsidRPr="00DE0D9A">
        <w:rPr>
          <w:lang w:val="de-DE"/>
        </w:rPr>
        <w:t xml:space="preserve">Der Angeklagte </w:t>
      </w:r>
      <w:r w:rsidR="00521BA2" w:rsidRPr="00DE0D9A">
        <w:rPr>
          <w:lang w:val="de-DE"/>
        </w:rPr>
        <w:t>Gerriet Harms</w:t>
      </w:r>
      <w:r w:rsidRPr="00DE0D9A">
        <w:rPr>
          <w:lang w:val="de-DE"/>
        </w:rPr>
        <w:t xml:space="preserve">, sein Vertreter Rechtsanwalt </w:t>
      </w:r>
      <w:proofErr w:type="spellStart"/>
      <w:r w:rsidRPr="00DE0D9A">
        <w:rPr>
          <w:lang w:val="de-DE"/>
        </w:rPr>
        <w:t>Pakharenko</w:t>
      </w:r>
      <w:proofErr w:type="spellEnd"/>
      <w:r w:rsidRPr="00DE0D9A">
        <w:rPr>
          <w:lang w:val="de-DE"/>
        </w:rPr>
        <w:t xml:space="preserve"> O.V., war mit der genannten Entscheidung des Gerichts nicht einverstanden. Es wurde Berufung eingelegt.</w:t>
      </w:r>
    </w:p>
    <w:p w14:paraId="26A5BD48" w14:textId="5CF96A9E" w:rsidR="007F6893" w:rsidRPr="00DE0D9A" w:rsidRDefault="00AA685F" w:rsidP="008F39DA">
      <w:pPr>
        <w:jc w:val="both"/>
        <w:rPr>
          <w:lang w:val="de-DE"/>
        </w:rPr>
      </w:pPr>
      <w:r w:rsidRPr="00DE0D9A">
        <w:rPr>
          <w:lang w:val="de-DE"/>
        </w:rPr>
        <w:t>In der Berufung weist der Vertreter des Beklagten darauf hin, dass die Entscheidung des erstinstanzlichen Gerichts nicht den tatsächlichen Umständen des Falles entspreche</w:t>
      </w:r>
      <w:r w:rsidR="008729A1" w:rsidRPr="00DE0D9A">
        <w:rPr>
          <w:lang w:val="de-DE"/>
        </w:rPr>
        <w:t>:</w:t>
      </w:r>
      <w:r w:rsidRPr="00DE0D9A">
        <w:rPr>
          <w:lang w:val="de-DE"/>
        </w:rPr>
        <w:t xml:space="preserve"> </w:t>
      </w:r>
    </w:p>
    <w:p w14:paraId="04B8A636" w14:textId="20FB4A6A" w:rsidR="008729A1" w:rsidRPr="00DE0D9A" w:rsidRDefault="00AA685F" w:rsidP="008F39DA">
      <w:pPr>
        <w:pStyle w:val="Listenabsatz"/>
        <w:numPr>
          <w:ilvl w:val="0"/>
          <w:numId w:val="3"/>
        </w:numPr>
        <w:jc w:val="both"/>
        <w:rPr>
          <w:lang w:val="de-DE"/>
        </w:rPr>
      </w:pPr>
      <w:r w:rsidRPr="00DE0D9A">
        <w:rPr>
          <w:lang w:val="de-DE"/>
        </w:rPr>
        <w:t>mit einer unvollständigen Klärung der für den Fall relevanten Umstände</w:t>
      </w:r>
      <w:r w:rsidR="008729A1" w:rsidRPr="00DE0D9A">
        <w:rPr>
          <w:lang w:val="de-DE"/>
        </w:rPr>
        <w:t>,</w:t>
      </w:r>
      <w:r w:rsidRPr="00DE0D9A">
        <w:rPr>
          <w:lang w:val="de-DE"/>
        </w:rPr>
        <w:t xml:space="preserve"> und unbewiesenen Umständen, die für den Fall relevant sind</w:t>
      </w:r>
      <w:r w:rsidR="008729A1" w:rsidRPr="00DE0D9A">
        <w:rPr>
          <w:lang w:val="de-DE"/>
        </w:rPr>
        <w:t>.</w:t>
      </w:r>
    </w:p>
    <w:p w14:paraId="01D8A923" w14:textId="54066BB1" w:rsidR="007F6893" w:rsidRPr="00DE0D9A" w:rsidRDefault="00AA685F" w:rsidP="008F39DA">
      <w:pPr>
        <w:pStyle w:val="Listenabsatz"/>
        <w:numPr>
          <w:ilvl w:val="0"/>
          <w:numId w:val="3"/>
        </w:numPr>
        <w:jc w:val="both"/>
        <w:rPr>
          <w:lang w:val="de-DE"/>
        </w:rPr>
      </w:pPr>
      <w:r w:rsidRPr="00DE0D9A">
        <w:rPr>
          <w:lang w:val="de-DE"/>
        </w:rPr>
        <w:t>die Widersprüchlichkeit der in der Entscheidung des Gerichts erster Instanz dargelegten Schlussfolgerungen</w:t>
      </w:r>
      <w:r w:rsidR="008729A1" w:rsidRPr="00DE0D9A">
        <w:rPr>
          <w:lang w:val="de-DE"/>
        </w:rPr>
        <w:t>.</w:t>
      </w:r>
      <w:r w:rsidRPr="00DE0D9A">
        <w:rPr>
          <w:lang w:val="de-DE"/>
        </w:rPr>
        <w:t xml:space="preserve"> </w:t>
      </w:r>
    </w:p>
    <w:p w14:paraId="1997A247" w14:textId="77777777" w:rsidR="007F6893" w:rsidRPr="00977549" w:rsidRDefault="00AA685F" w:rsidP="008F39DA">
      <w:pPr>
        <w:pStyle w:val="Listenabsatz"/>
        <w:numPr>
          <w:ilvl w:val="0"/>
          <w:numId w:val="3"/>
        </w:numPr>
        <w:jc w:val="both"/>
        <w:rPr>
          <w:lang w:val="de-DE"/>
        </w:rPr>
      </w:pPr>
      <w:r w:rsidRPr="00DE0D9A">
        <w:rPr>
          <w:lang w:val="de-DE"/>
        </w:rPr>
        <w:t xml:space="preserve">die Umstände des Falles sowie die fehlerhafte </w:t>
      </w:r>
      <w:r w:rsidRPr="00977549">
        <w:rPr>
          <w:lang w:val="de-DE"/>
        </w:rPr>
        <w:t xml:space="preserve">Anwendung und Verletzung materieller und verfahrensrechtlicher Normen, </w:t>
      </w:r>
    </w:p>
    <w:p w14:paraId="49613DA1" w14:textId="68E2188F" w:rsidR="00AA685F" w:rsidRPr="00977549" w:rsidRDefault="00C02FD6" w:rsidP="00705FA9">
      <w:pPr>
        <w:rPr>
          <w:lang w:val="de-DE"/>
        </w:rPr>
      </w:pPr>
      <w:r w:rsidRPr="00977549">
        <w:rPr>
          <w:lang w:val="de-DE"/>
        </w:rPr>
        <w:t xml:space="preserve">Die </w:t>
      </w:r>
      <w:r w:rsidR="00AA685F" w:rsidRPr="00977549">
        <w:rPr>
          <w:lang w:val="de-DE"/>
        </w:rPr>
        <w:t xml:space="preserve">Entscheidung </w:t>
      </w:r>
      <w:r w:rsidR="007F6893" w:rsidRPr="00977549">
        <w:rPr>
          <w:lang w:val="de-DE"/>
        </w:rPr>
        <w:t>soll</w:t>
      </w:r>
      <w:r w:rsidR="00AA685F" w:rsidRPr="00977549">
        <w:rPr>
          <w:lang w:val="de-DE"/>
        </w:rPr>
        <w:t xml:space="preserve"> unter </w:t>
      </w:r>
      <w:r w:rsidR="00AA685F" w:rsidRPr="00DE0D9A">
        <w:rPr>
          <w:lang w:val="de-DE"/>
        </w:rPr>
        <w:t xml:space="preserve">Berücksichtigung des Folgenden </w:t>
      </w:r>
      <w:r w:rsidR="00AA685F" w:rsidRPr="00977549">
        <w:rPr>
          <w:lang w:val="de-DE"/>
        </w:rPr>
        <w:t>storniert werden.</w:t>
      </w:r>
    </w:p>
    <w:p w14:paraId="328632D7" w14:textId="2B795ED3" w:rsidR="00AA685F" w:rsidRPr="00977549" w:rsidRDefault="00AA685F" w:rsidP="00CC035F">
      <w:pPr>
        <w:jc w:val="both"/>
        <w:rPr>
          <w:lang w:val="de-DE"/>
        </w:rPr>
      </w:pPr>
      <w:r w:rsidRPr="00977549">
        <w:rPr>
          <w:lang w:val="de-DE"/>
        </w:rPr>
        <w:t>In den zwischen den Parteien entstandenen Rechtsbeziehungen gelten die Bestimmungen des Artikels 198 des Assoziierungsabkommens zwischen der Ukraine einerseits und der Europäischen Union, der Europäischen Atomgemeinschaft und ihren Mitgliedstaaten andererseits. Es kommt das Abkommen zur Anwendung (im Folgenden „Assoziierungsabkommen</w:t>
      </w:r>
      <w:r w:rsidRPr="00DE0D9A">
        <w:rPr>
          <w:lang w:val="de-DE"/>
        </w:rPr>
        <w:t xml:space="preserve">“), das </w:t>
      </w:r>
      <w:r w:rsidRPr="00977549">
        <w:rPr>
          <w:lang w:val="de-DE"/>
        </w:rPr>
        <w:t xml:space="preserve">eine fünfjährige Frist für die Beendigung einer Marke für den Fall festlegt, dass die Marke nicht genutzt wird. Da die in Artikel 198 des Assoziierungsabkommens vorgesehene fünfjährige Nichtbenutzungsfrist der Marke, die für die Einreichung einer Klage zwingend erforderlich ist, nicht abgelaufen </w:t>
      </w:r>
      <w:r w:rsidR="007F6893" w:rsidRPr="00977549">
        <w:rPr>
          <w:lang w:val="de-DE"/>
        </w:rPr>
        <w:t>ist und somit</w:t>
      </w:r>
      <w:r w:rsidRPr="00977549">
        <w:rPr>
          <w:lang w:val="de-DE"/>
        </w:rPr>
        <w:t xml:space="preserve"> im Laufe des Verfahrens nicht nachgewiesen wurde, dass die Nichtbenutzung abgelaufen </w:t>
      </w:r>
      <w:r w:rsidR="00C02FD6" w:rsidRPr="00977549">
        <w:rPr>
          <w:lang w:val="de-DE"/>
        </w:rPr>
        <w:t>ist. Die</w:t>
      </w:r>
      <w:r w:rsidRPr="00977549">
        <w:rPr>
          <w:lang w:val="de-DE"/>
        </w:rPr>
        <w:t xml:space="preserve"> Schlussfolgerung des erstinstanzlichen Gerichts zur vorzeitigen Beendigung der Bescheinigung entspricht nicht den Anforderungen der geltenden Gesetzgebung.</w:t>
      </w:r>
    </w:p>
    <w:p w14:paraId="6159246A" w14:textId="056AE0DE" w:rsidR="00AA685F" w:rsidRPr="00DE0D9A" w:rsidRDefault="006B125C" w:rsidP="00CC035F">
      <w:pPr>
        <w:jc w:val="both"/>
        <w:rPr>
          <w:lang w:val="de-DE"/>
        </w:rPr>
      </w:pPr>
      <w:r w:rsidRPr="00DE0D9A">
        <w:rPr>
          <w:lang w:val="de-DE"/>
        </w:rPr>
        <w:t xml:space="preserve">Außerdem gibt der Vertreter des Beklagten an, dass der Inhaber des ukrainischen Zertifikats Nr. </w:t>
      </w:r>
      <w:r w:rsidR="00374B5A" w:rsidRPr="00DE0D9A">
        <w:rPr>
          <w:lang w:val="de-DE"/>
        </w:rPr>
        <w:t>176574</w:t>
      </w:r>
      <w:r w:rsidRPr="00DE0D9A">
        <w:rPr>
          <w:lang w:val="de-DE"/>
        </w:rPr>
        <w:t xml:space="preserve"> für das Zeichen „</w:t>
      </w:r>
      <w:r w:rsidR="007F6893" w:rsidRPr="00DE0D9A">
        <w:rPr>
          <w:lang w:val="de-DE"/>
        </w:rPr>
        <w:t>FSC</w:t>
      </w:r>
      <w:r w:rsidRPr="00DE0D9A">
        <w:rPr>
          <w:lang w:val="de-DE"/>
        </w:rPr>
        <w:t>“ zwei Lizenzverträge mit Einwohnern der Ukraine für die Nutzung des angegebenen Zeichens abgeschlossen</w:t>
      </w:r>
      <w:r w:rsidR="00C02FD6" w:rsidRPr="00DE0D9A">
        <w:rPr>
          <w:lang w:val="de-DE"/>
        </w:rPr>
        <w:t xml:space="preserve"> hat. Er hat</w:t>
      </w:r>
      <w:r w:rsidRPr="00DE0D9A">
        <w:rPr>
          <w:lang w:val="de-DE"/>
        </w:rPr>
        <w:t xml:space="preserve"> </w:t>
      </w:r>
      <w:r w:rsidR="00C02FD6" w:rsidRPr="00DE0D9A">
        <w:rPr>
          <w:lang w:val="de-DE"/>
        </w:rPr>
        <w:t xml:space="preserve">Produkte aus Robinie (Akazie) </w:t>
      </w:r>
      <w:r w:rsidRPr="00DE0D9A">
        <w:rPr>
          <w:lang w:val="de-DE"/>
        </w:rPr>
        <w:t>bestellt von einem ukrainischen Lieferanten, die dargelegten Umstände wurden jedoch vom Gericht ignoriert.</w:t>
      </w:r>
    </w:p>
    <w:p w14:paraId="33D6ED32" w14:textId="3A583D25" w:rsidR="006B125C" w:rsidRPr="00977549" w:rsidRDefault="006B125C" w:rsidP="00551982">
      <w:pPr>
        <w:jc w:val="both"/>
        <w:rPr>
          <w:lang w:val="de-DE"/>
        </w:rPr>
      </w:pPr>
      <w:r w:rsidRPr="00DE0D9A">
        <w:rPr>
          <w:lang w:val="de-DE"/>
        </w:rPr>
        <w:t xml:space="preserve">Das registrierte Zeichen gemäß dem Zertifikat der Ukraine Nr. </w:t>
      </w:r>
      <w:r w:rsidR="007F6893" w:rsidRPr="00DE0D9A">
        <w:rPr>
          <w:lang w:val="de-DE"/>
        </w:rPr>
        <w:t xml:space="preserve">176574 </w:t>
      </w:r>
      <w:r w:rsidRPr="00977549">
        <w:rPr>
          <w:lang w:val="de-DE"/>
        </w:rPr>
        <w:t>ist für den Eigentümer erforderlich, um Produkte zu kennzeichnen, die in der Ukraine hergestellt und ins Ausland exportiert werden. Allerdings gab es zum Zeitpunkt der Verhandlung vor dem erstinstanzlichen Gericht eine Reihe von Beschränkungen und Verboten im Zusammenhang mit der Ausfuhr von Holz und Nutzholz ins Ausland.</w:t>
      </w:r>
      <w:r w:rsidR="00C02FD6" w:rsidRPr="00977549">
        <w:rPr>
          <w:lang w:val="de-DE"/>
        </w:rPr>
        <w:t xml:space="preserve"> D</w:t>
      </w:r>
      <w:r w:rsidRPr="00977549">
        <w:rPr>
          <w:lang w:val="de-DE"/>
        </w:rPr>
        <w:t xml:space="preserve">ie Ausfuhr bestimmter Baumarten, bei denen es sich um Waren handelt, für die die Marke des Beklagten eingetragen ist, </w:t>
      </w:r>
      <w:r w:rsidR="00C02FD6" w:rsidRPr="00977549">
        <w:rPr>
          <w:lang w:val="de-DE"/>
        </w:rPr>
        <w:t xml:space="preserve">ist </w:t>
      </w:r>
      <w:r w:rsidRPr="00977549">
        <w:rPr>
          <w:lang w:val="de-DE"/>
        </w:rPr>
        <w:t>gesetzlich verboten</w:t>
      </w:r>
      <w:r w:rsidR="00C02FD6" w:rsidRPr="00977549">
        <w:rPr>
          <w:lang w:val="de-DE"/>
        </w:rPr>
        <w:t>. Sie</w:t>
      </w:r>
      <w:r w:rsidRPr="00977549">
        <w:rPr>
          <w:lang w:val="de-DE"/>
        </w:rPr>
        <w:t xml:space="preserve"> beruht </w:t>
      </w:r>
      <w:r w:rsidR="00C02FD6" w:rsidRPr="00977549">
        <w:rPr>
          <w:lang w:val="de-DE"/>
        </w:rPr>
        <w:t>auf der</w:t>
      </w:r>
      <w:r w:rsidRPr="00977549">
        <w:rPr>
          <w:lang w:val="de-DE"/>
        </w:rPr>
        <w:t xml:space="preserve"> Wirkung </w:t>
      </w:r>
      <w:r w:rsidR="00C02FD6" w:rsidRPr="00977549">
        <w:rPr>
          <w:lang w:val="de-DE"/>
        </w:rPr>
        <w:t>der</w:t>
      </w:r>
      <w:r w:rsidRPr="00977549">
        <w:rPr>
          <w:lang w:val="de-DE"/>
        </w:rPr>
        <w:t xml:space="preserve"> Bestimmungen des Gesetzes der Ukraine „Über den Schutz der Rechte an Marken für Waren und Dienstleistungen“. des </w:t>
      </w:r>
      <w:r w:rsidRPr="00DE0D9A">
        <w:rPr>
          <w:lang w:val="de-DE"/>
        </w:rPr>
        <w:t xml:space="preserve">Zertifikats Nr. </w:t>
      </w:r>
      <w:r w:rsidR="00374B5A" w:rsidRPr="00DE0D9A">
        <w:rPr>
          <w:lang w:val="de-DE"/>
        </w:rPr>
        <w:t>176574</w:t>
      </w:r>
      <w:r w:rsidR="007F6893" w:rsidRPr="00DE0D9A">
        <w:rPr>
          <w:lang w:val="de-DE"/>
        </w:rPr>
        <w:t>. Die</w:t>
      </w:r>
      <w:r w:rsidRPr="00DE0D9A">
        <w:rPr>
          <w:lang w:val="de-DE"/>
        </w:rPr>
        <w:t xml:space="preserve"> Marke „</w:t>
      </w:r>
      <w:r w:rsidR="007F6893" w:rsidRPr="00DE0D9A">
        <w:rPr>
          <w:lang w:val="de-DE"/>
        </w:rPr>
        <w:t>FSC</w:t>
      </w:r>
      <w:r w:rsidRPr="00DE0D9A">
        <w:rPr>
          <w:lang w:val="de-DE"/>
        </w:rPr>
        <w:t xml:space="preserve">“ kann </w:t>
      </w:r>
      <w:r w:rsidRPr="00977549">
        <w:rPr>
          <w:lang w:val="de-DE"/>
        </w:rPr>
        <w:t>nicht vorzeitig beendet werden, da die Nichtbenutzung der Marke durch den Beklagten ausschließlich auf gesetzlichen Verboten beruhte, die nicht vom Willen des Inhabers des Zertifikats abhängen.</w:t>
      </w:r>
    </w:p>
    <w:p w14:paraId="57566636" w14:textId="59E1DF9F" w:rsidR="006B125C" w:rsidRPr="00977549" w:rsidRDefault="006B125C" w:rsidP="00705FA9">
      <w:pPr>
        <w:rPr>
          <w:lang w:val="de-DE"/>
        </w:rPr>
      </w:pPr>
      <w:r w:rsidRPr="00977549">
        <w:rPr>
          <w:lang w:val="de-DE"/>
        </w:rPr>
        <w:t>Auf dieser Grundlage wird beantragt, die Entscheidung des erstinstanzlichen Gerichts aufzuheben und eine neue Entscheidung zu treffen, mit der die Klage abgewiesen werden.</w:t>
      </w:r>
    </w:p>
    <w:p w14:paraId="289C17A9" w14:textId="5163C7B2" w:rsidR="006B125C" w:rsidRPr="00977549" w:rsidRDefault="004D40BD" w:rsidP="00D4616C">
      <w:pPr>
        <w:jc w:val="both"/>
        <w:rPr>
          <w:lang w:val="de-DE"/>
        </w:rPr>
      </w:pPr>
      <w:r w:rsidRPr="00977549">
        <w:rPr>
          <w:lang w:val="de-DE"/>
        </w:rPr>
        <w:lastRenderedPageBreak/>
        <w:t xml:space="preserve">Als Reaktion auf die Berufung antwortete der Vertreter des Forest Stewardship Council – Rechtsanwalt </w:t>
      </w:r>
      <w:proofErr w:type="spellStart"/>
      <w:r w:rsidRPr="00977549">
        <w:rPr>
          <w:lang w:val="de-DE"/>
        </w:rPr>
        <w:t>Pad</w:t>
      </w:r>
      <w:r w:rsidRPr="00A8284F">
        <w:rPr>
          <w:lang w:val="de-DE"/>
        </w:rPr>
        <w:t>o</w:t>
      </w:r>
      <w:r w:rsidR="00D4616C" w:rsidRPr="00A8284F">
        <w:rPr>
          <w:lang w:val="de-DE"/>
        </w:rPr>
        <w:t>k</w:t>
      </w:r>
      <w:r w:rsidRPr="00A8284F">
        <w:rPr>
          <w:lang w:val="de-DE"/>
        </w:rPr>
        <w:t>h</w:t>
      </w:r>
      <w:proofErr w:type="spellEnd"/>
      <w:r w:rsidRPr="00A8284F">
        <w:rPr>
          <w:lang w:val="de-DE"/>
        </w:rPr>
        <w:t xml:space="preserve"> </w:t>
      </w:r>
      <w:r w:rsidRPr="00977549">
        <w:rPr>
          <w:lang w:val="de-DE"/>
        </w:rPr>
        <w:t xml:space="preserve">O.I. </w:t>
      </w:r>
      <w:r w:rsidR="000A1E48" w:rsidRPr="00977549">
        <w:rPr>
          <w:lang w:val="de-DE"/>
        </w:rPr>
        <w:t xml:space="preserve">und </w:t>
      </w:r>
      <w:r w:rsidRPr="00977549">
        <w:rPr>
          <w:lang w:val="de-DE"/>
        </w:rPr>
        <w:t>weist darauf hin, dass die Bestimmungen des Gesetzes der Ukraine „Über den Schutz der Rechte an Marken für Waren und Dienstleistungen“ anzuwenden sind, das den Zeitraum der Nichtbenutzung der Marke für Waren und Dienstleistungen ohne triftigen Grund für alle im Register eingetragenen Waren und Dienstleistungen innerhalb von drei Jahren ab dem Datum der Veröffentlichung der Bescheinigung</w:t>
      </w:r>
      <w:r w:rsidR="00C02FD6" w:rsidRPr="00977549">
        <w:rPr>
          <w:lang w:val="de-DE"/>
        </w:rPr>
        <w:t xml:space="preserve"> festlegt</w:t>
      </w:r>
      <w:r w:rsidRPr="00977549">
        <w:rPr>
          <w:lang w:val="de-DE"/>
        </w:rPr>
        <w:t xml:space="preserve">. Zum Zeitpunkt der Einreichung der Klage am 9. Juni 2017 konnten die Normen des Assoziierungsabkommens in der Ukraine nicht als Normen mit unmittelbarer Wirkung angewendet werden, da sie im Widerspruch zu Art. 8 der Verfassung der Ukraine </w:t>
      </w:r>
      <w:r w:rsidR="00C02FD6" w:rsidRPr="00977549">
        <w:rPr>
          <w:lang w:val="de-DE"/>
        </w:rPr>
        <w:t xml:space="preserve">steht. Es </w:t>
      </w:r>
      <w:r w:rsidRPr="00977549">
        <w:rPr>
          <w:lang w:val="de-DE"/>
        </w:rPr>
        <w:t xml:space="preserve">wurde das Abkommen nicht Teil der nationalen Gesetzgebung, da es sich nicht um einen gültigen internationalen Vertrag handelte (das Abkommen trat erst am 1. September 2017 in Kraft). Darüber hinaus waren die Bestimmungen des Assoziierungsabkommens zum Zeitpunkt der Einreichung der Klage am 9. Juni 2017 noch nicht in die geltende nationale Gesetzgebung umgesetzt. Unter diesen Bedingungen war das Assoziierungsabkommen mit Stand vom 9. Juni 2017 nicht Teil der nationalen Gesetzgebung im Sinne des Gesetzes der Ukraine „Über internationale Verträge in der Ukraine“ und die aktuelle nationale Gesetzgebung enthielt </w:t>
      </w:r>
      <w:r w:rsidRPr="00DE0D9A">
        <w:rPr>
          <w:lang w:val="de-DE"/>
        </w:rPr>
        <w:t>andere Beding</w:t>
      </w:r>
      <w:r w:rsidR="00DE0D9A" w:rsidRPr="00DE0D9A">
        <w:rPr>
          <w:lang w:val="de-DE"/>
        </w:rPr>
        <w:t>ungen als die darin festgelegte</w:t>
      </w:r>
      <w:r w:rsidRPr="00DE0D9A">
        <w:rPr>
          <w:lang w:val="de-DE"/>
        </w:rPr>
        <w:t xml:space="preserve"> Vereinbarung</w:t>
      </w:r>
      <w:r w:rsidRPr="00977549">
        <w:rPr>
          <w:lang w:val="de-DE"/>
        </w:rPr>
        <w:t>.</w:t>
      </w:r>
    </w:p>
    <w:p w14:paraId="2494B78D" w14:textId="77E26EE3" w:rsidR="00694D84" w:rsidRPr="00977549" w:rsidRDefault="003E5174" w:rsidP="008D42E0">
      <w:pPr>
        <w:jc w:val="both"/>
        <w:rPr>
          <w:lang w:val="de-DE"/>
        </w:rPr>
      </w:pPr>
      <w:r w:rsidRPr="00977549">
        <w:rPr>
          <w:lang w:val="de-DE"/>
        </w:rPr>
        <w:t>Die vom Beklagten vor dem erstinstanzlichen Gericht vorgelegten Beweise zur Bestätigung der Nutzung der umstrittenen Marke enthalten zahlreiche Widersprüche und beweisen nicht deren tatsächliche Nutzung. Lediglich der Abschluss von Lizenzverträgen kann nicht als Nutzung der umstrittenen Marke angesehen werden. Darüber hinaus sind die vom Beklagten vorgelegten Verträge entweder nicht von der Gegenpartei</w:t>
      </w:r>
      <w:r w:rsidR="00694D84" w:rsidRPr="00977549">
        <w:rPr>
          <w:lang w:val="de-DE"/>
        </w:rPr>
        <w:t>,</w:t>
      </w:r>
      <w:r w:rsidRPr="00977549">
        <w:rPr>
          <w:lang w:val="de-DE"/>
        </w:rPr>
        <w:t xml:space="preserve"> oder von einer unbefugten Person unterzeichnet, die nicht der Eigentümer der umstrittenen Marke ist.</w:t>
      </w:r>
      <w:r w:rsidR="00694D84" w:rsidRPr="00977549">
        <w:rPr>
          <w:lang w:val="de-DE"/>
        </w:rPr>
        <w:t xml:space="preserve"> Die</w:t>
      </w:r>
      <w:r w:rsidRPr="00977549">
        <w:rPr>
          <w:lang w:val="de-DE"/>
        </w:rPr>
        <w:t xml:space="preserve"> </w:t>
      </w:r>
      <w:r w:rsidR="00694D84" w:rsidRPr="00977549">
        <w:rPr>
          <w:lang w:val="de-DE"/>
        </w:rPr>
        <w:t xml:space="preserve">Bedingung der </w:t>
      </w:r>
      <w:proofErr w:type="spellStart"/>
      <w:r w:rsidR="00694D84" w:rsidRPr="00977549">
        <w:rPr>
          <w:lang w:val="de-DE"/>
        </w:rPr>
        <w:t>Definiton</w:t>
      </w:r>
      <w:proofErr w:type="spellEnd"/>
      <w:r w:rsidRPr="00977549">
        <w:rPr>
          <w:lang w:val="de-DE"/>
        </w:rPr>
        <w:t xml:space="preserve"> von Waren und Dienstleistungen in Lizenzverträgen ist eine unbedingte Grundlage für die Anerkennung solcher Verträge </w:t>
      </w:r>
    </w:p>
    <w:p w14:paraId="680C1B6B" w14:textId="1F9EA7B6" w:rsidR="003E5174" w:rsidRPr="00977549" w:rsidRDefault="003E5174" w:rsidP="00D81AF1">
      <w:pPr>
        <w:jc w:val="both"/>
        <w:rPr>
          <w:lang w:val="de-DE"/>
        </w:rPr>
      </w:pPr>
      <w:r w:rsidRPr="00977549">
        <w:rPr>
          <w:lang w:val="de-DE"/>
        </w:rPr>
        <w:t>Der Beklagte hat keine triftigen Gründe nachgewiesen, die der Nutzung der umstrittenen Marke unabhängig vom Willen des Inhabers des Zertifikats entgegenstehen, da er die Tatsache einer rechtlichen Beschränkung des gesamten Verzeichnisses der Waren und Dienstleistungen, für die die Marke eingetragen ist, nicht nachgewiesen hat und insbesondere auf Robinienholz. Darüber hinaus ist der Beklagte nicht auf eine Art der Nutzung der Marke für Waren und Dienstleistungen durch Import und gemäß Teil 4 der Kunst beschränkt. 16 des Markengesetzes hatte das Recht, die umstrittene Marke auf jede im entsprechenden Teil des Artikels angegebene Weise zu verwenden.</w:t>
      </w:r>
    </w:p>
    <w:p w14:paraId="3384D261" w14:textId="35CF4915" w:rsidR="003E5174" w:rsidRPr="00977549" w:rsidRDefault="003E5174" w:rsidP="00D81AF1">
      <w:pPr>
        <w:jc w:val="both"/>
        <w:rPr>
          <w:lang w:val="de-DE"/>
        </w:rPr>
      </w:pPr>
      <w:r w:rsidRPr="00977549">
        <w:rPr>
          <w:lang w:val="de-DE"/>
        </w:rPr>
        <w:t>Unter diesen Voraussetzungen ist der Kläger davon überzeugt, dass gemäß Art. Artikel 263 der Zivilprozessordnung der Ukraine</w:t>
      </w:r>
      <w:r w:rsidR="00DD0B6E" w:rsidRPr="00977549">
        <w:rPr>
          <w:lang w:val="de-DE"/>
        </w:rPr>
        <w:t xml:space="preserve"> </w:t>
      </w:r>
      <w:r w:rsidRPr="00977549">
        <w:rPr>
          <w:lang w:val="de-DE"/>
        </w:rPr>
        <w:t xml:space="preserve">die Entscheidung des Bezirksgerichts </w:t>
      </w:r>
      <w:proofErr w:type="spellStart"/>
      <w:r w:rsidRPr="00977549">
        <w:rPr>
          <w:lang w:val="de-DE"/>
        </w:rPr>
        <w:t>Petschersk</w:t>
      </w:r>
      <w:proofErr w:type="spellEnd"/>
      <w:r w:rsidRPr="00977549">
        <w:rPr>
          <w:lang w:val="de-DE"/>
        </w:rPr>
        <w:t xml:space="preserve"> der Stadt Kiew vom 24. November 2020 rechtmäßig und begründet </w:t>
      </w:r>
      <w:r w:rsidR="00DD0B6E" w:rsidRPr="00977549">
        <w:rPr>
          <w:lang w:val="de-DE"/>
        </w:rPr>
        <w:t xml:space="preserve">ist </w:t>
      </w:r>
      <w:r w:rsidRPr="00977549">
        <w:rPr>
          <w:lang w:val="de-DE"/>
        </w:rPr>
        <w:t xml:space="preserve">und </w:t>
      </w:r>
      <w:r w:rsidR="00DD0B6E" w:rsidRPr="00977549">
        <w:rPr>
          <w:lang w:val="de-DE"/>
        </w:rPr>
        <w:t>in</w:t>
      </w:r>
      <w:r w:rsidRPr="00977549">
        <w:rPr>
          <w:lang w:val="de-DE"/>
        </w:rPr>
        <w:t xml:space="preserve"> Übereinstimmung mit den Normen des Verfahrensrechts und unter korrekter Anwendung der materiellen Normen erlassen Gesetz.</w:t>
      </w:r>
    </w:p>
    <w:p w14:paraId="0987AC68" w14:textId="77777777" w:rsidR="003E5174" w:rsidRPr="00977549" w:rsidRDefault="003E5174" w:rsidP="00D81AF1">
      <w:pPr>
        <w:jc w:val="both"/>
        <w:rPr>
          <w:lang w:val="de-DE"/>
        </w:rPr>
      </w:pPr>
      <w:r w:rsidRPr="00977549">
        <w:rPr>
          <w:lang w:val="de-DE"/>
        </w:rPr>
        <w:t>Der Vertreter des Klägers weist außerdem darauf hin, dass im Zusammenhang mit der Prüfung des Falles zwischen dem Vertreter des Klägers und dem Kläger eine Vereinbarung über die Gewährung von Rechtsbeistand (Rechtshilfe) geschlossen wurde, wonach der Kläger ein Honorar entrichtet um Rechtsbeistand in dem Fall, der ihm vom Vertreter gewährt wird. Es wird geschätzt, dass sich die Kosten des Klägers für Rechtsbeistand auf 50.000,00 bis 100.000,00 UAH belaufen werden.</w:t>
      </w:r>
    </w:p>
    <w:p w14:paraId="34EDCB1A" w14:textId="33CB3DBA" w:rsidR="003E5174" w:rsidRPr="00977549" w:rsidRDefault="00D17EC3" w:rsidP="00D81AF1">
      <w:pPr>
        <w:jc w:val="both"/>
        <w:rPr>
          <w:lang w:val="de-DE"/>
        </w:rPr>
      </w:pPr>
      <w:r w:rsidRPr="00977549">
        <w:rPr>
          <w:lang w:val="de-DE"/>
        </w:rPr>
        <w:t>Im Stadium der Berufungsprüfung des Falles</w:t>
      </w:r>
      <w:r w:rsidR="007304CC" w:rsidRPr="00977549">
        <w:rPr>
          <w:lang w:val="de-DE"/>
        </w:rPr>
        <w:t>,</w:t>
      </w:r>
      <w:r w:rsidRPr="00977549">
        <w:rPr>
          <w:lang w:val="de-DE"/>
        </w:rPr>
        <w:t xml:space="preserve"> wurde durch die mündlich ergangene und in das Protokoll der Gerichtssitzung vom 22. Mai 2023 eingetragene Entscheidung des Gerichts</w:t>
      </w:r>
      <w:r w:rsidR="007304CC" w:rsidRPr="00977549">
        <w:rPr>
          <w:lang w:val="de-DE"/>
        </w:rPr>
        <w:t>,</w:t>
      </w:r>
      <w:r w:rsidRPr="00977549">
        <w:rPr>
          <w:lang w:val="de-DE"/>
        </w:rPr>
        <w:t xml:space="preserve"> das </w:t>
      </w:r>
      <w:r w:rsidR="00844F99" w:rsidRPr="00977549">
        <w:rPr>
          <w:lang w:val="de-DE"/>
        </w:rPr>
        <w:t xml:space="preserve">das </w:t>
      </w:r>
      <w:r w:rsidRPr="00977549">
        <w:rPr>
          <w:lang w:val="de-DE"/>
        </w:rPr>
        <w:t xml:space="preserve">beklagte Staatsunternehmen „Ukrainisches Institut für geistiges Eigentum“ ersetzt </w:t>
      </w:r>
      <w:r w:rsidR="00844F99" w:rsidRPr="00977549">
        <w:rPr>
          <w:lang w:val="de-DE"/>
        </w:rPr>
        <w:t xml:space="preserve">wurde </w:t>
      </w:r>
      <w:r w:rsidRPr="00977549">
        <w:rPr>
          <w:lang w:val="de-DE"/>
        </w:rPr>
        <w:t>durch ihren Rechtsnachfolger, die staatliche Organisation „Ukrainisches Nationalamt für geistiges Eigentum und Innovation“</w:t>
      </w:r>
      <w:r w:rsidR="00844F99" w:rsidRPr="00977549">
        <w:rPr>
          <w:lang w:val="de-DE"/>
        </w:rPr>
        <w:t>)</w:t>
      </w:r>
      <w:r w:rsidR="007304CC" w:rsidRPr="00977549">
        <w:rPr>
          <w:lang w:val="de-DE"/>
        </w:rPr>
        <w:t>,</w:t>
      </w:r>
      <w:r w:rsidR="00844F99" w:rsidRPr="00977549">
        <w:rPr>
          <w:lang w:val="de-DE"/>
        </w:rPr>
        <w:t xml:space="preserve"> Es wurde die</w:t>
      </w:r>
      <w:r w:rsidRPr="00977549">
        <w:rPr>
          <w:lang w:val="de-DE"/>
        </w:rPr>
        <w:t xml:space="preserve"> Übertragung von Befugnissen bezüglich der Registrierung von Marken gemäß </w:t>
      </w:r>
      <w:r w:rsidRPr="00977549">
        <w:rPr>
          <w:lang w:val="de-DE"/>
        </w:rPr>
        <w:lastRenderedPageBreak/>
        <w:t>dem Dekret des Ministerkabinetts der Ukraine 28. Oktober 2022 Nr. 943-</w:t>
      </w:r>
      <w:r w:rsidRPr="00684B30">
        <w:rPr>
          <w:color w:val="FF0000"/>
          <w:lang w:val="de-DE"/>
        </w:rPr>
        <w:t>r</w:t>
      </w:r>
      <w:r w:rsidRPr="00977549">
        <w:rPr>
          <w:lang w:val="de-DE"/>
        </w:rPr>
        <w:t xml:space="preserve"> „Einige Fragen der Nationalen Behörde für geistiges Eigentum </w:t>
      </w:r>
      <w:r w:rsidRPr="00DE0D9A">
        <w:rPr>
          <w:lang w:val="de-DE"/>
        </w:rPr>
        <w:t>/ Bd. 3 a.s.70-71/.</w:t>
      </w:r>
      <w:r w:rsidR="00844F99" w:rsidRPr="00DE0D9A">
        <w:rPr>
          <w:lang w:val="de-DE"/>
        </w:rPr>
        <w:t xml:space="preserve"> </w:t>
      </w:r>
      <w:r w:rsidR="00844F99" w:rsidRPr="00977549">
        <w:rPr>
          <w:lang w:val="de-DE"/>
        </w:rPr>
        <w:t>festgestellt</w:t>
      </w:r>
    </w:p>
    <w:p w14:paraId="21957C90" w14:textId="3721CC90" w:rsidR="00D17EC3" w:rsidRPr="00A829E8" w:rsidRDefault="00EB753A" w:rsidP="00684B30">
      <w:pPr>
        <w:jc w:val="both"/>
        <w:rPr>
          <w:lang w:val="uk-UA"/>
        </w:rPr>
      </w:pPr>
      <w:r w:rsidRPr="00977549">
        <w:rPr>
          <w:lang w:val="de-DE"/>
        </w:rPr>
        <w:t xml:space="preserve">In seiner Antwort auf die Berufung unterstützte </w:t>
      </w:r>
      <w:r w:rsidRPr="00A829E8">
        <w:rPr>
          <w:lang w:val="de-DE"/>
        </w:rPr>
        <w:t xml:space="preserve">UKRNOIVI </w:t>
      </w:r>
      <w:r w:rsidR="00A829E8">
        <w:rPr>
          <w:lang w:val="uk-UA"/>
        </w:rPr>
        <w:t>(</w:t>
      </w:r>
      <w:r w:rsidR="00A829E8" w:rsidRPr="00A829E8">
        <w:rPr>
          <w:lang w:val="de-DE"/>
        </w:rPr>
        <w:t>Ukrainisches Nationalamt für geistiges Eigentum und Innovation</w:t>
      </w:r>
      <w:r w:rsidR="00A829E8">
        <w:rPr>
          <w:lang w:val="uk-UA"/>
        </w:rPr>
        <w:t>)</w:t>
      </w:r>
      <w:r w:rsidRPr="00977549">
        <w:rPr>
          <w:lang w:val="de-DE"/>
        </w:rPr>
        <w:t xml:space="preserve">die Position des Klägers in dem Fall und wies darauf hin, dass bei der Einreichung der Klage beim Gericht der Wortlaut von Teil 4 von Artikel 18 des Gesetzes der Ukraine „Über den Schutz von Rechten an Marken für  „Waren und Dienstleistungen“ angewendet wird, das eine dreijährige Frist vorsah, in der das Zeichen nicht verwendet wurde, was einen ausreichenden Grund für die vorzeitige Beendigung der Gültigkeit des Zertifikats </w:t>
      </w:r>
      <w:r w:rsidRPr="00DE0D9A">
        <w:rPr>
          <w:lang w:val="de-DE"/>
        </w:rPr>
        <w:t>darstellt /</w:t>
      </w:r>
      <w:r w:rsidR="00DE0D9A">
        <w:rPr>
          <w:lang w:val="de-DE"/>
        </w:rPr>
        <w:t xml:space="preserve">Bd.3 </w:t>
      </w:r>
      <w:r w:rsidR="00DE0D9A" w:rsidRPr="00B724BC">
        <w:rPr>
          <w:lang w:val="de-DE"/>
        </w:rPr>
        <w:t>S</w:t>
      </w:r>
      <w:r w:rsidRPr="00DE0D9A">
        <w:rPr>
          <w:lang w:val="de-DE"/>
        </w:rPr>
        <w:t>.82-89/.</w:t>
      </w:r>
    </w:p>
    <w:p w14:paraId="7ED86B2A" w14:textId="6B05F004" w:rsidR="00EB753A" w:rsidRPr="00977549" w:rsidRDefault="001F4D62" w:rsidP="003E3104">
      <w:pPr>
        <w:jc w:val="both"/>
        <w:rPr>
          <w:lang w:val="de-DE"/>
        </w:rPr>
      </w:pPr>
      <w:r w:rsidRPr="00977549">
        <w:rPr>
          <w:lang w:val="de-DE"/>
        </w:rPr>
        <w:t xml:space="preserve">Bei der Gerichtsverhandlung war der Vertreter des Angeklagten, Rechtsanwalt </w:t>
      </w:r>
      <w:proofErr w:type="spellStart"/>
      <w:r w:rsidRPr="00977549">
        <w:rPr>
          <w:lang w:val="de-DE"/>
        </w:rPr>
        <w:t>Dronov</w:t>
      </w:r>
      <w:proofErr w:type="spellEnd"/>
      <w:r w:rsidRPr="00977549">
        <w:rPr>
          <w:lang w:val="de-DE"/>
        </w:rPr>
        <w:t xml:space="preserve"> I.V., </w:t>
      </w:r>
      <w:r w:rsidR="007304CC" w:rsidRPr="00977549">
        <w:rPr>
          <w:lang w:val="de-DE"/>
        </w:rPr>
        <w:t>anwesend.</w:t>
      </w:r>
      <w:r w:rsidRPr="00977549">
        <w:rPr>
          <w:lang w:val="de-DE"/>
        </w:rPr>
        <w:t xml:space="preserve"> Er unterstützte die Argumente der Berufung und forderte, ihr stattzugeben.</w:t>
      </w:r>
    </w:p>
    <w:p w14:paraId="4F9415B4" w14:textId="1AF0B106" w:rsidR="001F4D62" w:rsidRPr="00977549" w:rsidRDefault="00BC500F" w:rsidP="005F1D6D">
      <w:pPr>
        <w:jc w:val="both"/>
        <w:rPr>
          <w:lang w:val="de-DE"/>
        </w:rPr>
      </w:pPr>
      <w:r w:rsidRPr="00977549">
        <w:rPr>
          <w:lang w:val="de-DE"/>
        </w:rPr>
        <w:t>Der Vertreter des Klägers</w:t>
      </w:r>
      <w:r w:rsidR="007304CC" w:rsidRPr="00977549">
        <w:rPr>
          <w:lang w:val="de-DE"/>
        </w:rPr>
        <w:t>,</w:t>
      </w:r>
      <w:r w:rsidRPr="00977549">
        <w:rPr>
          <w:lang w:val="de-DE"/>
        </w:rPr>
        <w:t xml:space="preserve"> Rechtsanwalt </w:t>
      </w:r>
      <w:proofErr w:type="spellStart"/>
      <w:r w:rsidRPr="00977549">
        <w:rPr>
          <w:lang w:val="de-DE"/>
        </w:rPr>
        <w:t>Pado</w:t>
      </w:r>
      <w:r w:rsidR="003B5B94" w:rsidRPr="00EB43E4">
        <w:rPr>
          <w:lang w:val="de-DE"/>
        </w:rPr>
        <w:t>k</w:t>
      </w:r>
      <w:r w:rsidRPr="00EB43E4">
        <w:rPr>
          <w:lang w:val="de-DE"/>
        </w:rPr>
        <w:t>h</w:t>
      </w:r>
      <w:proofErr w:type="spellEnd"/>
      <w:r w:rsidRPr="00977549">
        <w:rPr>
          <w:lang w:val="de-DE"/>
        </w:rPr>
        <w:t xml:space="preserve"> O.I</w:t>
      </w:r>
      <w:r w:rsidR="005F1D6D">
        <w:rPr>
          <w:lang w:val="de-DE"/>
        </w:rPr>
        <w:t>.</w:t>
      </w:r>
      <w:r w:rsidR="007304CC" w:rsidRPr="00977549">
        <w:rPr>
          <w:lang w:val="de-DE"/>
        </w:rPr>
        <w:t>,</w:t>
      </w:r>
      <w:r w:rsidRPr="00977549">
        <w:rPr>
          <w:lang w:val="de-DE"/>
        </w:rPr>
        <w:t xml:space="preserve"> erhob Einspruch gegen die Argumente der Berufung und forderte, die Entscheidung des erstinstanzlichen Gerichts unverändert zu lassen.</w:t>
      </w:r>
    </w:p>
    <w:p w14:paraId="7F118682" w14:textId="77777777" w:rsidR="00BC500F" w:rsidRPr="00977549" w:rsidRDefault="00CE1E8F" w:rsidP="00691222">
      <w:pPr>
        <w:jc w:val="both"/>
        <w:rPr>
          <w:lang w:val="de-DE"/>
        </w:rPr>
      </w:pPr>
      <w:r w:rsidRPr="00A829E8">
        <w:rPr>
          <w:lang w:val="de-DE"/>
        </w:rPr>
        <w:t xml:space="preserve">UKRNOIVI </w:t>
      </w:r>
      <w:r w:rsidRPr="00977549">
        <w:rPr>
          <w:lang w:val="de-DE"/>
        </w:rPr>
        <w:t>hat seinen Vertreter nicht zur Gerichtssitzung entsandt, Zeitpunkt und Ort der Anhörung wurden ordnungsgemäß mitgeteilt, die Gründe für das Nichterscheinen vor Gericht wurden nicht mitgeteilt und in der Antwort wurde ihr Standpunkt zur Berufung dargelegt. Daher gelangte die Jury unter Berufung auf die Bestimmungen von Artikel 372 Teil 2 des Bürgerlichen Gesetzbuchs der Ukraine zu der Auffassung, dass ihr Nichterscheinen das Berufungsgericht nicht daran hindert, den Fall zu prüfen.</w:t>
      </w:r>
    </w:p>
    <w:p w14:paraId="5E622D8C" w14:textId="77777777" w:rsidR="00CE1E8F" w:rsidRPr="00977549" w:rsidRDefault="00BA0730" w:rsidP="00D911A1">
      <w:pPr>
        <w:jc w:val="both"/>
        <w:rPr>
          <w:lang w:val="de-DE"/>
        </w:rPr>
      </w:pPr>
      <w:r w:rsidRPr="00977549">
        <w:rPr>
          <w:lang w:val="de-DE"/>
        </w:rPr>
        <w:t>Nach Anhörung des Richterberichts, der Erläuterungen der Teilnehmer der Gerichtsverhandlung und der Prüfung der Rechtmäßigkeit und Angemessenheit der Gerichtsentscheidung im Rahmen der Berufungsargumente ist die Jury der Ansicht, dass die Berufung auf dieser Grundlage befriedigt werden kann.</w:t>
      </w:r>
    </w:p>
    <w:p w14:paraId="777A4BAB" w14:textId="05E22BFA" w:rsidR="00BA0730" w:rsidRPr="00DE0D9A" w:rsidRDefault="001E6BD7" w:rsidP="00200944">
      <w:pPr>
        <w:jc w:val="both"/>
        <w:rPr>
          <w:lang w:val="de-DE"/>
        </w:rPr>
      </w:pPr>
      <w:r w:rsidRPr="00977549">
        <w:rPr>
          <w:lang w:val="de-DE"/>
        </w:rPr>
        <w:t>Das Gericht stellte f</w:t>
      </w:r>
      <w:r w:rsidRPr="00DE0D9A">
        <w:rPr>
          <w:lang w:val="de-DE"/>
        </w:rPr>
        <w:t xml:space="preserve">est, dass der Beklagte </w:t>
      </w:r>
      <w:r w:rsidR="00521BA2" w:rsidRPr="00DE0D9A">
        <w:rPr>
          <w:lang w:val="de-DE"/>
        </w:rPr>
        <w:t>Gerriet Harms</w:t>
      </w:r>
      <w:r w:rsidR="007304CC" w:rsidRPr="00DE0D9A">
        <w:rPr>
          <w:lang w:val="de-DE"/>
        </w:rPr>
        <w:t>,</w:t>
      </w:r>
      <w:r w:rsidR="00C90101" w:rsidRPr="00DE0D9A">
        <w:rPr>
          <w:lang w:val="de-DE"/>
        </w:rPr>
        <w:t xml:space="preserve"> </w:t>
      </w:r>
      <w:r w:rsidRPr="00DE0D9A">
        <w:rPr>
          <w:lang w:val="de-DE"/>
        </w:rPr>
        <w:t xml:space="preserve">Inhaber des ukrainischen Zertifikats Nr. </w:t>
      </w:r>
      <w:r w:rsidR="00374B5A" w:rsidRPr="00DE0D9A">
        <w:rPr>
          <w:lang w:val="de-DE"/>
        </w:rPr>
        <w:t>176574</w:t>
      </w:r>
      <w:r w:rsidRPr="00DE0D9A">
        <w:rPr>
          <w:lang w:val="de-DE"/>
        </w:rPr>
        <w:t xml:space="preserve"> für die Marke für Waren und Dienstleistungen „</w:t>
      </w:r>
      <w:r w:rsidR="00374B5A" w:rsidRPr="00DE0D9A">
        <w:rPr>
          <w:lang w:val="de-DE"/>
        </w:rPr>
        <w:t>FSC</w:t>
      </w:r>
      <w:r w:rsidRPr="00DE0D9A">
        <w:rPr>
          <w:lang w:val="de-DE"/>
        </w:rPr>
        <w:t xml:space="preserve">“ vom 25. September 2013 ist, </w:t>
      </w:r>
      <w:r w:rsidR="007304CC" w:rsidRPr="00DE0D9A">
        <w:rPr>
          <w:lang w:val="de-DE"/>
        </w:rPr>
        <w:t>dass</w:t>
      </w:r>
      <w:r w:rsidRPr="00DE0D9A">
        <w:rPr>
          <w:lang w:val="de-DE"/>
        </w:rPr>
        <w:t xml:space="preserve"> für Waren 19, 31 und Dienstleistungen der Klassen 35 der Internationalen Klassifikation eingetragen ist Waren und Dienstleistungen, was durch einen Auszug aus dem Staatsregister, Zertifikaten für Zeichen für Waren und Dienstleistungen und anderen Materialien von NOIP /</w:t>
      </w:r>
      <w:r w:rsidR="00DE0D9A" w:rsidRPr="00DE0D9A">
        <w:rPr>
          <w:lang w:val="de-DE"/>
        </w:rPr>
        <w:t>Band 1 S.</w:t>
      </w:r>
      <w:r w:rsidRPr="00DE0D9A">
        <w:rPr>
          <w:lang w:val="de-DE"/>
        </w:rPr>
        <w:t>31-65/ bestätigt.</w:t>
      </w:r>
    </w:p>
    <w:p w14:paraId="29B5C9F8" w14:textId="4D7D1FA1" w:rsidR="001E6BD7" w:rsidRPr="00977549" w:rsidRDefault="001E6BD7" w:rsidP="00616135">
      <w:pPr>
        <w:jc w:val="both"/>
        <w:rPr>
          <w:lang w:val="de-DE"/>
        </w:rPr>
      </w:pPr>
      <w:r w:rsidRPr="00DE0D9A">
        <w:rPr>
          <w:lang w:val="de-DE"/>
        </w:rPr>
        <w:t xml:space="preserve">Zur Stützung der Argumente hinsichtlich der Nichtbenutzung der umstrittenen Marke durch die Beklagte </w:t>
      </w:r>
      <w:r w:rsidR="00521BA2" w:rsidRPr="00DE0D9A">
        <w:rPr>
          <w:lang w:val="de-DE"/>
        </w:rPr>
        <w:t>Gerriet Harms</w:t>
      </w:r>
      <w:r w:rsidR="00C90101" w:rsidRPr="00DE0D9A">
        <w:rPr>
          <w:lang w:val="de-DE"/>
        </w:rPr>
        <w:t xml:space="preserve"> </w:t>
      </w:r>
      <w:r w:rsidRPr="00DE0D9A">
        <w:rPr>
          <w:lang w:val="de-DE"/>
        </w:rPr>
        <w:t xml:space="preserve">legte </w:t>
      </w:r>
      <w:r w:rsidRPr="00977549">
        <w:rPr>
          <w:lang w:val="de-DE"/>
        </w:rPr>
        <w:t>der Kläger folgende Beweise vor:</w:t>
      </w:r>
    </w:p>
    <w:p w14:paraId="3E1209D5" w14:textId="08661F9A" w:rsidR="001E6BD7" w:rsidRPr="00A8284F" w:rsidRDefault="001E6BD7" w:rsidP="004A1B96">
      <w:pPr>
        <w:pStyle w:val="Listenabsatz"/>
        <w:numPr>
          <w:ilvl w:val="0"/>
          <w:numId w:val="4"/>
        </w:numPr>
        <w:jc w:val="both"/>
        <w:rPr>
          <w:lang w:val="de-DE"/>
        </w:rPr>
      </w:pPr>
      <w:r w:rsidRPr="00977549">
        <w:rPr>
          <w:lang w:val="de-DE"/>
        </w:rPr>
        <w:t xml:space="preserve">eine Kopie des Schreibens des Ministeriums für Ökologie und natürliche Ressourcen der Ukraine vom 7. Dezember 2016 Nr. 8-02-1152-16, in dem es heißt, dass der PERSON_6 keine Genehmigung für die </w:t>
      </w:r>
      <w:r w:rsidRPr="00DE0D9A">
        <w:rPr>
          <w:lang w:val="de-DE"/>
        </w:rPr>
        <w:t xml:space="preserve">besondere Nutzung natürlicher Pflanzenressourcen erteilt wurde, </w:t>
      </w:r>
      <w:r w:rsidR="00521BA2" w:rsidRPr="00DE0D9A">
        <w:rPr>
          <w:lang w:val="de-DE"/>
        </w:rPr>
        <w:t xml:space="preserve">Gerriet </w:t>
      </w:r>
      <w:r w:rsidR="007304CC" w:rsidRPr="00A8284F">
        <w:rPr>
          <w:lang w:val="de-DE"/>
        </w:rPr>
        <w:t>Harms keine</w:t>
      </w:r>
      <w:r w:rsidRPr="00A8284F">
        <w:rPr>
          <w:lang w:val="de-DE"/>
        </w:rPr>
        <w:t xml:space="preserve"> Beschränkung der Nutzung natürlicher Pflanzenressourcen von nationaler Bedeutung erhalten hat, die Genehmigung zum Fällen von Bäumen und Sträuchern der PERSON_7 nicht erteilt wurde /</w:t>
      </w:r>
      <w:r w:rsidR="00DE0D9A" w:rsidRPr="00A8284F">
        <w:rPr>
          <w:lang w:val="de-DE"/>
        </w:rPr>
        <w:t>Bd.1 S</w:t>
      </w:r>
      <w:r w:rsidRPr="00A8284F">
        <w:rPr>
          <w:lang w:val="de-DE"/>
        </w:rPr>
        <w:t>.66-67/</w:t>
      </w:r>
    </w:p>
    <w:p w14:paraId="551008F1" w14:textId="00BC034B" w:rsidR="001E6BD7" w:rsidRPr="00BF6282" w:rsidRDefault="00D90016" w:rsidP="00DE2D53">
      <w:pPr>
        <w:pStyle w:val="Listenabsatz"/>
        <w:numPr>
          <w:ilvl w:val="0"/>
          <w:numId w:val="4"/>
        </w:numPr>
        <w:jc w:val="both"/>
        <w:rPr>
          <w:color w:val="FF0000"/>
          <w:lang w:val="de-DE"/>
        </w:rPr>
      </w:pPr>
      <w:r w:rsidRPr="00A8284F">
        <w:rPr>
          <w:lang w:val="de-DE"/>
        </w:rPr>
        <w:t xml:space="preserve">eine Kopie des Schreibens des Staatsunternehmens „Ukrainisches Institut für geistiges Eigentum“ </w:t>
      </w:r>
      <w:r w:rsidRPr="00977549">
        <w:rPr>
          <w:lang w:val="de-DE"/>
        </w:rPr>
        <w:t xml:space="preserve">vom 30. November 2016 Nr. 3127/24, in dem es </w:t>
      </w:r>
      <w:r w:rsidR="007304CC" w:rsidRPr="00977549">
        <w:rPr>
          <w:lang w:val="de-DE"/>
        </w:rPr>
        <w:t>heißt, zum</w:t>
      </w:r>
      <w:r w:rsidRPr="00977549">
        <w:rPr>
          <w:lang w:val="de-DE"/>
        </w:rPr>
        <w:t xml:space="preserve"> 30. November 2016 waren im staatlichen Zertifikatsregister der Ukraine für Waren und Dienstleistungen keine Informationen zur Eigentumsübertragung und Erteilung von Lizenzen zur Nutzung der Marke für Waren und</w:t>
      </w:r>
      <w:r w:rsidRPr="00DE0D9A">
        <w:rPr>
          <w:lang w:val="de-DE"/>
        </w:rPr>
        <w:t xml:space="preserve"> Dienstleistungen gemäß dem ukrainischen Zertifikat Nr. </w:t>
      </w:r>
      <w:r w:rsidR="00374B5A" w:rsidRPr="00DE0D9A">
        <w:rPr>
          <w:lang w:val="de-DE"/>
        </w:rPr>
        <w:t>176574</w:t>
      </w:r>
      <w:r w:rsidRPr="00DE0D9A">
        <w:rPr>
          <w:lang w:val="de-DE"/>
        </w:rPr>
        <w:t xml:space="preserve"> eingetragen /</w:t>
      </w:r>
      <w:r w:rsidR="00DE0D9A" w:rsidRPr="00DE0D9A">
        <w:rPr>
          <w:lang w:val="de-DE"/>
        </w:rPr>
        <w:t>Bd.1 S.</w:t>
      </w:r>
      <w:r w:rsidRPr="00DE0D9A">
        <w:rPr>
          <w:lang w:val="de-DE"/>
        </w:rPr>
        <w:t>68</w:t>
      </w:r>
    </w:p>
    <w:p w14:paraId="6333FA36" w14:textId="77777777" w:rsidR="00D90016" w:rsidRPr="00977549" w:rsidRDefault="00D90016" w:rsidP="00D90016">
      <w:pPr>
        <w:rPr>
          <w:lang w:val="de-DE"/>
        </w:rPr>
      </w:pPr>
    </w:p>
    <w:p w14:paraId="5C12E2B3" w14:textId="59C60442" w:rsidR="00D90016" w:rsidRPr="00977549" w:rsidRDefault="00931265" w:rsidP="00BF6282">
      <w:pPr>
        <w:pStyle w:val="Listenabsatz"/>
        <w:numPr>
          <w:ilvl w:val="0"/>
          <w:numId w:val="4"/>
        </w:numPr>
        <w:jc w:val="both"/>
        <w:rPr>
          <w:lang w:val="de-DE"/>
        </w:rPr>
      </w:pPr>
      <w:r w:rsidRPr="00977549">
        <w:rPr>
          <w:lang w:val="de-DE"/>
        </w:rPr>
        <w:lastRenderedPageBreak/>
        <w:t xml:space="preserve">Kopien der Schreiben der Staatlichen Forstbehörde der Ukraine vom 7. Februar 2017 Nr. 02-19/658-17 und Nr. 02-19/659-17, aus denen hervorgeht, dass die Staatliche Forstbehörde hat nicht im Namen von </w:t>
      </w:r>
      <w:r w:rsidR="00521BA2" w:rsidRPr="00DE0D9A">
        <w:rPr>
          <w:lang w:val="de-DE"/>
        </w:rPr>
        <w:t>Gerriet Harms</w:t>
      </w:r>
      <w:r w:rsidR="00C90101" w:rsidRPr="00DE0D9A">
        <w:rPr>
          <w:lang w:val="de-DE"/>
        </w:rPr>
        <w:t xml:space="preserve"> </w:t>
      </w:r>
      <w:r w:rsidR="00844F99" w:rsidRPr="00977549">
        <w:rPr>
          <w:lang w:val="de-DE"/>
        </w:rPr>
        <w:t>getan, die</w:t>
      </w:r>
      <w:r w:rsidRPr="00977549">
        <w:rPr>
          <w:lang w:val="de-DE"/>
        </w:rPr>
        <w:t xml:space="preserve"> im Antrag des Anwalts des Klägers genannten Genehmigungen </w:t>
      </w:r>
      <w:proofErr w:type="spellStart"/>
      <w:r w:rsidRPr="00DE0D9A">
        <w:rPr>
          <w:lang w:val="de-DE"/>
        </w:rPr>
        <w:t>auzusstellen</w:t>
      </w:r>
      <w:proofErr w:type="spellEnd"/>
      <w:r w:rsidRPr="00DE0D9A">
        <w:rPr>
          <w:lang w:val="de-DE"/>
        </w:rPr>
        <w:t xml:space="preserve"> und die Waldzertifizierung unter der Bezeichnung „INFORMATION_1“ im Namen von </w:t>
      </w:r>
      <w:r w:rsidR="00521BA2" w:rsidRPr="00DE0D9A">
        <w:rPr>
          <w:lang w:val="de-DE"/>
        </w:rPr>
        <w:t>Gerriet Harms</w:t>
      </w:r>
      <w:r w:rsidR="00C90101" w:rsidRPr="00DE0D9A">
        <w:rPr>
          <w:lang w:val="de-DE"/>
        </w:rPr>
        <w:t xml:space="preserve"> </w:t>
      </w:r>
      <w:r w:rsidRPr="00977549">
        <w:rPr>
          <w:lang w:val="de-DE"/>
        </w:rPr>
        <w:t>nicht durchgeführt wurde /</w:t>
      </w:r>
      <w:r w:rsidR="00DE0D9A" w:rsidRPr="00DE0D9A">
        <w:rPr>
          <w:lang w:val="de-DE"/>
        </w:rPr>
        <w:t>Bd.1 S</w:t>
      </w:r>
      <w:r w:rsidRPr="00DE0D9A">
        <w:rPr>
          <w:lang w:val="de-DE"/>
        </w:rPr>
        <w:t>.69-73/;</w:t>
      </w:r>
    </w:p>
    <w:p w14:paraId="5B8FDB3F" w14:textId="03B75A0C" w:rsidR="00931265" w:rsidRPr="00DE0D9A" w:rsidRDefault="00E86A9C" w:rsidP="00BB36B9">
      <w:pPr>
        <w:pStyle w:val="Listenabsatz"/>
        <w:numPr>
          <w:ilvl w:val="0"/>
          <w:numId w:val="4"/>
        </w:numPr>
        <w:jc w:val="both"/>
        <w:rPr>
          <w:lang w:val="de-DE"/>
        </w:rPr>
      </w:pPr>
      <w:r w:rsidRPr="00977549">
        <w:rPr>
          <w:lang w:val="de-DE"/>
        </w:rPr>
        <w:t xml:space="preserve">eine Kopie des Schreibens des </w:t>
      </w:r>
      <w:proofErr w:type="spellStart"/>
      <w:r w:rsidRPr="00977549">
        <w:rPr>
          <w:lang w:val="de-DE"/>
        </w:rPr>
        <w:t>Warennummerierungsverbandes</w:t>
      </w:r>
      <w:proofErr w:type="spellEnd"/>
      <w:r w:rsidRPr="00977549">
        <w:rPr>
          <w:lang w:val="de-DE"/>
        </w:rPr>
        <w:t xml:space="preserve"> der Ukraine „JS1 Ukraine“ vom 1. Dezember 2016 Nr. 241/01, wonach im Register des Vereins „JS1 Ukraine“ mit Stand vom 1. Dezember 2016  keine Einträge aus dem Zeitraum 2012-2016 enthalten sind über die Rohstoffpositionen von Sub-Wirtschaftssubjekten – assoziierte Mitglieder des Verbandes „JS1 Ukraine“, der Bauholz vertritt; behandeltes Bauholz; Schnittholz; Industrieholz (für den Haushaltsbedarf); Furnierholz; Holz, teilweise bearbeitet, einschichtiges Holzsperrholz; Holzbretter (Paneel, Verkleidung, Boden); Holzspäne; Holzprodukte; Baum; Baumstämme; rohes Holz; </w:t>
      </w:r>
      <w:proofErr w:type="spellStart"/>
      <w:r w:rsidRPr="00977549">
        <w:rPr>
          <w:lang w:val="de-DE"/>
        </w:rPr>
        <w:t>ungesägtes</w:t>
      </w:r>
      <w:proofErr w:type="spellEnd"/>
      <w:r w:rsidRPr="00977549">
        <w:rPr>
          <w:lang w:val="de-DE"/>
        </w:rPr>
        <w:t xml:space="preserve"> Holz; landwirtschaftliche, gärtnerische und forstwirtschaftliche Erzeugnisse und in deren Namen das Wortelement „</w:t>
      </w:r>
      <w:r w:rsidRPr="00DE0D9A">
        <w:rPr>
          <w:lang w:val="de-DE"/>
        </w:rPr>
        <w:t xml:space="preserve">INFORMATION_1“ </w:t>
      </w:r>
      <w:r w:rsidRPr="00977549">
        <w:rPr>
          <w:lang w:val="de-DE"/>
        </w:rPr>
        <w:t xml:space="preserve">enthalten ist. Dies bedeutet, dass der Verein „GS1 Ukraine“ im Zeitraum vom 1. Januar </w:t>
      </w:r>
      <w:r w:rsidRPr="00DE0D9A">
        <w:rPr>
          <w:lang w:val="de-DE"/>
        </w:rPr>
        <w:t>2012 bis zum 1. Dezember 2016 Waren der angegebenen Typen, deren Namen die Wortelemente „INFORMATION_1“ enthalten, im GS1-System keine Identifikationsnummern zugewiesen hat. /</w:t>
      </w:r>
      <w:r w:rsidR="00DE0D9A" w:rsidRPr="00DE0D9A">
        <w:rPr>
          <w:lang w:val="de-DE"/>
        </w:rPr>
        <w:t>Bd.1 S.</w:t>
      </w:r>
      <w:r w:rsidRPr="00DE0D9A">
        <w:rPr>
          <w:lang w:val="de-DE"/>
        </w:rPr>
        <w:t>74,75/;</w:t>
      </w:r>
    </w:p>
    <w:p w14:paraId="38DAE125" w14:textId="232C215F" w:rsidR="00E86A9C" w:rsidRPr="00DE0D9A" w:rsidRDefault="004831F5" w:rsidP="002422E8">
      <w:pPr>
        <w:pStyle w:val="Listenabsatz"/>
        <w:numPr>
          <w:ilvl w:val="0"/>
          <w:numId w:val="4"/>
        </w:numPr>
        <w:jc w:val="both"/>
        <w:rPr>
          <w:lang w:val="de-DE"/>
        </w:rPr>
      </w:pPr>
      <w:r w:rsidRPr="00DE0D9A">
        <w:rPr>
          <w:lang w:val="de-DE"/>
        </w:rPr>
        <w:t xml:space="preserve">eine Kopie des Schreibens des Ministeriums für wirtschaftliche Entwicklung und Handel der Ukraine vom 1. Dezember 2016 Nr. 3433-08/38883-09, wonach keine Konformitätsbescheinigungen für Produkte mit der Kennzeichnung „INFORMATION_1“ im Namen an </w:t>
      </w:r>
      <w:r w:rsidR="00521BA2" w:rsidRPr="00DE0D9A">
        <w:rPr>
          <w:lang w:val="de-DE"/>
        </w:rPr>
        <w:t>Gerriet Harms</w:t>
      </w:r>
      <w:r w:rsidR="00C90101" w:rsidRPr="00DE0D9A">
        <w:rPr>
          <w:lang w:val="de-DE"/>
        </w:rPr>
        <w:t xml:space="preserve"> </w:t>
      </w:r>
      <w:r w:rsidRPr="00DE0D9A">
        <w:rPr>
          <w:lang w:val="de-DE"/>
        </w:rPr>
        <w:t>im Register des staatlichen Zertifizierungssystems / /</w:t>
      </w:r>
      <w:r w:rsidR="00DE0D9A" w:rsidRPr="00DE0D9A">
        <w:rPr>
          <w:lang w:val="de-DE"/>
        </w:rPr>
        <w:t>Bd.1 S.</w:t>
      </w:r>
      <w:r w:rsidRPr="00DE0D9A">
        <w:rPr>
          <w:lang w:val="de-DE"/>
        </w:rPr>
        <w:t>76-78/ registriert</w:t>
      </w:r>
      <w:r w:rsidR="00D702BB" w:rsidRPr="00DE0D9A">
        <w:rPr>
          <w:lang w:val="de-DE"/>
        </w:rPr>
        <w:t xml:space="preserve"> </w:t>
      </w:r>
      <w:r w:rsidR="00844F99" w:rsidRPr="00DE0D9A">
        <w:rPr>
          <w:lang w:val="de-DE"/>
        </w:rPr>
        <w:t>sind;</w:t>
      </w:r>
    </w:p>
    <w:p w14:paraId="3FFC1970" w14:textId="288D24B9" w:rsidR="004831F5" w:rsidRPr="00977549" w:rsidRDefault="0000751B" w:rsidP="00C940DE">
      <w:pPr>
        <w:pStyle w:val="Listenabsatz"/>
        <w:numPr>
          <w:ilvl w:val="0"/>
          <w:numId w:val="4"/>
        </w:numPr>
        <w:jc w:val="both"/>
        <w:rPr>
          <w:lang w:val="de-DE"/>
        </w:rPr>
      </w:pPr>
      <w:r w:rsidRPr="00DE0D9A">
        <w:rPr>
          <w:lang w:val="de-DE"/>
        </w:rPr>
        <w:t>eine Kopie des Schreibens des Ministeriums für wirtschaftliche Entwicklung und Handel der Ukraine vom 1. Dezember 2016 Nr. 3433-08/38890-09, wonach Informationen zu Konformitätsbescheinigungen für Produkte mit der Bezeichnung „INFO</w:t>
      </w:r>
      <w:r w:rsidR="00DE0D9A" w:rsidRPr="00DE0D9A">
        <w:rPr>
          <w:lang w:val="de-DE"/>
        </w:rPr>
        <w:t>RMATION</w:t>
      </w:r>
      <w:r w:rsidRPr="00DE0D9A">
        <w:rPr>
          <w:lang w:val="de-DE"/>
        </w:rPr>
        <w:t xml:space="preserve">_1“ im </w:t>
      </w:r>
      <w:r w:rsidRPr="00977549">
        <w:rPr>
          <w:lang w:val="de-DE"/>
        </w:rPr>
        <w:t xml:space="preserve">Register des staatlichen Zertifizierungssystems </w:t>
      </w:r>
      <w:r w:rsidRPr="00DE0D9A">
        <w:rPr>
          <w:lang w:val="de-DE"/>
        </w:rPr>
        <w:t xml:space="preserve">fehlen / </w:t>
      </w:r>
      <w:r w:rsidR="00DE0D9A" w:rsidRPr="00DE0D9A">
        <w:rPr>
          <w:lang w:val="de-DE"/>
        </w:rPr>
        <w:t>Band 1 S.</w:t>
      </w:r>
      <w:r w:rsidRPr="00DE0D9A">
        <w:rPr>
          <w:lang w:val="de-DE"/>
        </w:rPr>
        <w:t xml:space="preserve"> 79-81/;</w:t>
      </w:r>
    </w:p>
    <w:p w14:paraId="4568C517" w14:textId="2C2932E1" w:rsidR="0000751B" w:rsidRPr="00977549" w:rsidRDefault="00970E22" w:rsidP="00C940DE">
      <w:pPr>
        <w:pStyle w:val="Listenabsatz"/>
        <w:numPr>
          <w:ilvl w:val="0"/>
          <w:numId w:val="4"/>
        </w:numPr>
        <w:jc w:val="both"/>
        <w:rPr>
          <w:lang w:val="de-DE"/>
        </w:rPr>
      </w:pPr>
      <w:r w:rsidRPr="00977549">
        <w:rPr>
          <w:lang w:val="de-DE"/>
        </w:rPr>
        <w:t>eine Kopie des Schreibens des Staatlichen Dienstes der Ukraine für Lebensmittelsicherheit und Verbraucherschutz vom 2. Dezember 2016 Nr. 602-123-12/23780, wonach der Staatliche Produktions- und V</w:t>
      </w:r>
      <w:r w:rsidRPr="00DE0D9A">
        <w:rPr>
          <w:lang w:val="de-DE"/>
        </w:rPr>
        <w:t xml:space="preserve">erbraucherdienst die </w:t>
      </w:r>
      <w:r w:rsidR="00844F99" w:rsidRPr="00DE0D9A">
        <w:rPr>
          <w:lang w:val="de-DE"/>
        </w:rPr>
        <w:t>Schlussfolgerungen für</w:t>
      </w:r>
      <w:r w:rsidRPr="00DE0D9A">
        <w:rPr>
          <w:lang w:val="de-DE"/>
        </w:rPr>
        <w:t xml:space="preserve"> Sanitär-epidemiologische Untersuchung von Rohstoffen und Produkten ausländischer Produktion im Namen von </w:t>
      </w:r>
      <w:r w:rsidR="00521BA2" w:rsidRPr="00DE0D9A">
        <w:rPr>
          <w:lang w:val="de-DE"/>
        </w:rPr>
        <w:t>Gerriet Harms</w:t>
      </w:r>
      <w:r w:rsidRPr="00977549">
        <w:rPr>
          <w:lang w:val="de-DE"/>
        </w:rPr>
        <w:t>, deren Name und Verpacku</w:t>
      </w:r>
      <w:r w:rsidRPr="00DE0D9A">
        <w:rPr>
          <w:lang w:val="de-DE"/>
        </w:rPr>
        <w:t>ngen die Bezeichnung „INFORMATION_1“ enthalten, nicht ausgestellt hat /</w:t>
      </w:r>
      <w:r w:rsidR="00DE0D9A" w:rsidRPr="00DE0D9A">
        <w:rPr>
          <w:lang w:val="de-DE"/>
        </w:rPr>
        <w:t>Bd.1 S.</w:t>
      </w:r>
      <w:r w:rsidRPr="00DE0D9A">
        <w:rPr>
          <w:lang w:val="de-DE"/>
        </w:rPr>
        <w:t>82-83/.</w:t>
      </w:r>
    </w:p>
    <w:p w14:paraId="5F5DD04E" w14:textId="35611544" w:rsidR="00970E22" w:rsidRPr="00DE0D9A" w:rsidRDefault="00EE74A7" w:rsidP="00324880">
      <w:pPr>
        <w:jc w:val="both"/>
        <w:rPr>
          <w:lang w:val="de-DE"/>
        </w:rPr>
      </w:pPr>
      <w:r w:rsidRPr="00977549">
        <w:rPr>
          <w:lang w:val="de-DE"/>
        </w:rPr>
        <w:t>Der Kläger legte außerdem eine Kopie der Entscheidung des staatlichen Dienstes für geistiges Eigentum vom 11. Januar 2017 über die Registrierung des Vertrags über das Recht des Autors an dem Werk vor – die Zeichnung „</w:t>
      </w:r>
      <w:r w:rsidR="00844F99" w:rsidRPr="00977549">
        <w:rPr>
          <w:lang w:val="de-DE"/>
        </w:rPr>
        <w:t>FSC</w:t>
      </w:r>
      <w:r w:rsidRPr="00977549">
        <w:rPr>
          <w:lang w:val="de-DE"/>
        </w:rPr>
        <w:t xml:space="preserve">“, wonach die Rechte des Autors auf </w:t>
      </w:r>
      <w:r w:rsidRPr="00DE0D9A">
        <w:rPr>
          <w:lang w:val="de-DE"/>
        </w:rPr>
        <w:t xml:space="preserve">das Werk an Kläger übertragen wurden /Bd.1 </w:t>
      </w:r>
      <w:r w:rsidR="00DE0D9A" w:rsidRPr="00DE0D9A">
        <w:rPr>
          <w:lang w:val="de-DE"/>
        </w:rPr>
        <w:t>S</w:t>
      </w:r>
      <w:r w:rsidRPr="00DE0D9A">
        <w:rPr>
          <w:lang w:val="de-DE"/>
        </w:rPr>
        <w:t>.84/</w:t>
      </w:r>
    </w:p>
    <w:p w14:paraId="2D0D2F15" w14:textId="46314DEE" w:rsidR="00EE74A7" w:rsidRPr="00DE0D9A" w:rsidRDefault="007304CC" w:rsidP="00D90016">
      <w:pPr>
        <w:rPr>
          <w:lang w:val="de-DE"/>
        </w:rPr>
      </w:pPr>
      <w:r w:rsidRPr="00DE0D9A">
        <w:rPr>
          <w:lang w:val="de-DE"/>
        </w:rPr>
        <w:t xml:space="preserve">Der </w:t>
      </w:r>
      <w:r w:rsidR="001F10DD" w:rsidRPr="00DE0D9A">
        <w:rPr>
          <w:lang w:val="de-DE"/>
        </w:rPr>
        <w:t xml:space="preserve">Vertreter von </w:t>
      </w:r>
      <w:r w:rsidR="00521BA2" w:rsidRPr="00DE0D9A">
        <w:rPr>
          <w:lang w:val="de-DE"/>
        </w:rPr>
        <w:t>Gerriet Harms</w:t>
      </w:r>
      <w:r w:rsidR="00C90101" w:rsidRPr="00DE0D9A">
        <w:rPr>
          <w:lang w:val="de-DE"/>
        </w:rPr>
        <w:t xml:space="preserve"> </w:t>
      </w:r>
      <w:r w:rsidR="001F10DD" w:rsidRPr="00DE0D9A">
        <w:rPr>
          <w:lang w:val="de-DE"/>
        </w:rPr>
        <w:t xml:space="preserve">– Rechtsanwalt </w:t>
      </w:r>
      <w:proofErr w:type="spellStart"/>
      <w:r w:rsidR="001F10DD" w:rsidRPr="00DE0D9A">
        <w:rPr>
          <w:lang w:val="de-DE"/>
        </w:rPr>
        <w:t>Voikov</w:t>
      </w:r>
      <w:proofErr w:type="spellEnd"/>
      <w:r w:rsidR="001F10DD" w:rsidRPr="00DE0D9A">
        <w:rPr>
          <w:lang w:val="de-DE"/>
        </w:rPr>
        <w:t xml:space="preserve"> A.P. hat, um die Verwendung der umstrittenen Marke für Waren und Dienstleistungen auf dem Territorium der Ukraine zu </w:t>
      </w:r>
      <w:r w:rsidRPr="00DE0D9A">
        <w:rPr>
          <w:lang w:val="de-DE"/>
        </w:rPr>
        <w:t>bestätigen, folgende</w:t>
      </w:r>
      <w:r w:rsidR="001F10DD" w:rsidRPr="00DE0D9A">
        <w:rPr>
          <w:lang w:val="de-DE"/>
        </w:rPr>
        <w:t xml:space="preserve"> Kopien vorgelegt:</w:t>
      </w:r>
    </w:p>
    <w:p w14:paraId="6DD3FDEF" w14:textId="5B9DFBE1" w:rsidR="00EE74A7" w:rsidRPr="00DE0D9A" w:rsidRDefault="001F10DD" w:rsidP="008F5DFF">
      <w:pPr>
        <w:pStyle w:val="Listenabsatz"/>
        <w:numPr>
          <w:ilvl w:val="0"/>
          <w:numId w:val="5"/>
        </w:numPr>
        <w:jc w:val="both"/>
        <w:rPr>
          <w:lang w:val="de-DE"/>
        </w:rPr>
      </w:pPr>
      <w:r w:rsidRPr="00DE0D9A">
        <w:rPr>
          <w:lang w:val="de-DE"/>
        </w:rPr>
        <w:t>Lizenzvereinbarungen über die schriftliche und grafische Nutzung des Zeichens „</w:t>
      </w:r>
      <w:r w:rsidR="00844F99" w:rsidRPr="00DE0D9A">
        <w:rPr>
          <w:lang w:val="de-DE"/>
        </w:rPr>
        <w:t>FSC</w:t>
      </w:r>
      <w:r w:rsidRPr="00DE0D9A">
        <w:rPr>
          <w:lang w:val="de-DE"/>
        </w:rPr>
        <w:t xml:space="preserve">“ (das Bild des Zeichens ist im Vertrag enthalten) zwischen dem Beklagten </w:t>
      </w:r>
      <w:r w:rsidR="00521BA2" w:rsidRPr="00DE0D9A">
        <w:rPr>
          <w:lang w:val="de-DE"/>
        </w:rPr>
        <w:t>Gerriet Harms</w:t>
      </w:r>
      <w:r w:rsidR="00C90101" w:rsidRPr="00DE0D9A">
        <w:rPr>
          <w:lang w:val="de-DE"/>
        </w:rPr>
        <w:t xml:space="preserve"> </w:t>
      </w:r>
      <w:r w:rsidRPr="00DE0D9A">
        <w:rPr>
          <w:lang w:val="de-DE"/>
        </w:rPr>
        <w:t xml:space="preserve">und </w:t>
      </w:r>
      <w:r w:rsidRPr="00977549">
        <w:rPr>
          <w:lang w:val="de-DE"/>
        </w:rPr>
        <w:t xml:space="preserve">dem </w:t>
      </w:r>
      <w:r w:rsidRPr="00A829E8">
        <w:rPr>
          <w:lang w:val="de-DE"/>
        </w:rPr>
        <w:t xml:space="preserve">Einzelunternehmer </w:t>
      </w:r>
      <w:r w:rsidR="00A829E8" w:rsidRPr="00A829E8">
        <w:rPr>
          <w:lang w:val="de-DE"/>
        </w:rPr>
        <w:t xml:space="preserve">PERSON 10 </w:t>
      </w:r>
      <w:r w:rsidRPr="00977549">
        <w:rPr>
          <w:lang w:val="de-DE"/>
        </w:rPr>
        <w:t>(Lizenznehmer)</w:t>
      </w:r>
      <w:r w:rsidR="00844F99" w:rsidRPr="00977549">
        <w:rPr>
          <w:lang w:val="de-DE"/>
        </w:rPr>
        <w:t>.</w:t>
      </w:r>
      <w:r w:rsidRPr="00977549">
        <w:rPr>
          <w:lang w:val="de-DE"/>
        </w:rPr>
        <w:t xml:space="preserve"> </w:t>
      </w:r>
      <w:r w:rsidR="00844F99" w:rsidRPr="00977549">
        <w:rPr>
          <w:lang w:val="de-DE"/>
        </w:rPr>
        <w:t>G</w:t>
      </w:r>
      <w:r w:rsidRPr="00977549">
        <w:rPr>
          <w:lang w:val="de-DE"/>
        </w:rPr>
        <w:t>emäß dieser Vereinbarung wird dem Lizenznehmer das Recht</w:t>
      </w:r>
      <w:r w:rsidR="00844F99" w:rsidRPr="00977549">
        <w:rPr>
          <w:lang w:val="de-DE"/>
        </w:rPr>
        <w:t xml:space="preserve"> gewährt</w:t>
      </w:r>
      <w:r w:rsidRPr="00977549">
        <w:rPr>
          <w:lang w:val="de-DE"/>
        </w:rPr>
        <w:t xml:space="preserve">, das Zeichen in kommerziellen Vereinbarungen über von ihm hergestellte oder vertriebene Holzprodukte zu verwenden. Die Marke wird bei der Kennzeichnung </w:t>
      </w:r>
      <w:r w:rsidRPr="00977549">
        <w:rPr>
          <w:lang w:val="de-DE"/>
        </w:rPr>
        <w:lastRenderedPageBreak/>
        <w:t xml:space="preserve">von Holzprodukten und in der Korrespondenz mit anderen Geschäftspartnern und Kunden des Lizenznehmers verwendet </w:t>
      </w:r>
      <w:r w:rsidRPr="00DE0D9A">
        <w:rPr>
          <w:lang w:val="de-DE"/>
        </w:rPr>
        <w:t>/</w:t>
      </w:r>
      <w:r w:rsidR="00DE0D9A" w:rsidRPr="00DE0D9A">
        <w:rPr>
          <w:lang w:val="de-DE"/>
        </w:rPr>
        <w:t>Bd.1 S.</w:t>
      </w:r>
      <w:r w:rsidRPr="00DE0D9A">
        <w:rPr>
          <w:lang w:val="de-DE"/>
        </w:rPr>
        <w:t>.208-21/;</w:t>
      </w:r>
    </w:p>
    <w:p w14:paraId="78C1BAB3" w14:textId="5C94865B" w:rsidR="001F10DD" w:rsidRPr="00DE0D9A" w:rsidRDefault="001F10DD" w:rsidP="001E04C9">
      <w:pPr>
        <w:pStyle w:val="Listenabsatz"/>
        <w:numPr>
          <w:ilvl w:val="0"/>
          <w:numId w:val="5"/>
        </w:numPr>
        <w:jc w:val="both"/>
        <w:rPr>
          <w:lang w:val="de-DE"/>
        </w:rPr>
      </w:pPr>
      <w:r w:rsidRPr="00DE0D9A">
        <w:rPr>
          <w:lang w:val="de-DE"/>
        </w:rPr>
        <w:t>Lizenzvereinbarung über die schriftliche und grafische Nutzung der Marke „</w:t>
      </w:r>
      <w:r w:rsidR="00844F99" w:rsidRPr="00DE0D9A">
        <w:rPr>
          <w:lang w:val="de-DE"/>
        </w:rPr>
        <w:t>FSC</w:t>
      </w:r>
      <w:r w:rsidRPr="00DE0D9A">
        <w:rPr>
          <w:lang w:val="de-DE"/>
        </w:rPr>
        <w:t xml:space="preserve">“ (das Bild der Marke ist im Vertrag enthalten) zwischen der Beklagten </w:t>
      </w:r>
      <w:r w:rsidR="00521BA2" w:rsidRPr="00DE0D9A">
        <w:rPr>
          <w:lang w:val="de-DE"/>
        </w:rPr>
        <w:t>Gerriet Harms</w:t>
      </w:r>
      <w:r w:rsidR="00C90101" w:rsidRPr="00DE0D9A">
        <w:rPr>
          <w:lang w:val="de-DE"/>
        </w:rPr>
        <w:t xml:space="preserve"> </w:t>
      </w:r>
      <w:r w:rsidRPr="00DE0D9A">
        <w:rPr>
          <w:lang w:val="de-DE"/>
        </w:rPr>
        <w:t>und dem Privatunternehmen „</w:t>
      </w:r>
      <w:proofErr w:type="spellStart"/>
      <w:r w:rsidRPr="00DE0D9A">
        <w:rPr>
          <w:lang w:val="de-DE"/>
        </w:rPr>
        <w:t>Vimar</w:t>
      </w:r>
      <w:proofErr w:type="spellEnd"/>
      <w:r w:rsidRPr="00DE0D9A">
        <w:rPr>
          <w:lang w:val="de-DE"/>
        </w:rPr>
        <w:t>-Trade“ (Lizenznehmer). Gemäß dieser Vereinbarung wird dem Lizenznehmer das Recht eingeräumt, die Marke im kommerziellen Verkehr für die von ihm hergestellten oder vertriebenen Holzprodukte zu nutzen. Die Marke wird bei der Kennzeichnung von Holzprodukten und in der Korrespondenz mit anderen Geschäftspartnern und Kunden des Lizenznehmers verwendet /</w:t>
      </w:r>
      <w:r w:rsidR="00DE0D9A" w:rsidRPr="00DE0D9A">
        <w:rPr>
          <w:lang w:val="de-DE"/>
        </w:rPr>
        <w:t>Bd.1 S</w:t>
      </w:r>
      <w:r w:rsidRPr="00DE0D9A">
        <w:rPr>
          <w:lang w:val="de-DE"/>
        </w:rPr>
        <w:t>.217-222/;</w:t>
      </w:r>
    </w:p>
    <w:p w14:paraId="3B244F0D" w14:textId="546A5A58" w:rsidR="001F10DD" w:rsidRPr="00DE0D9A" w:rsidRDefault="001F10DD" w:rsidP="00A00262">
      <w:pPr>
        <w:pStyle w:val="Listenabsatz"/>
        <w:numPr>
          <w:ilvl w:val="0"/>
          <w:numId w:val="5"/>
        </w:numPr>
        <w:jc w:val="both"/>
        <w:rPr>
          <w:lang w:val="de-DE"/>
        </w:rPr>
      </w:pPr>
      <w:r w:rsidRPr="00977549">
        <w:rPr>
          <w:lang w:val="de-DE"/>
        </w:rPr>
        <w:t>Lizenz</w:t>
      </w:r>
      <w:r w:rsidRPr="00DE0D9A">
        <w:rPr>
          <w:lang w:val="de-DE"/>
        </w:rPr>
        <w:t xml:space="preserve">vertrag (in Übersetzung) zwischen dem Beklagten </w:t>
      </w:r>
      <w:r w:rsidR="00521BA2" w:rsidRPr="00DE0D9A">
        <w:rPr>
          <w:lang w:val="de-DE"/>
        </w:rPr>
        <w:t>Gerriet Harms</w:t>
      </w:r>
      <w:r w:rsidR="00C90101" w:rsidRPr="00DE0D9A">
        <w:rPr>
          <w:lang w:val="de-DE"/>
        </w:rPr>
        <w:t xml:space="preserve"> </w:t>
      </w:r>
      <w:r w:rsidRPr="00DE0D9A">
        <w:rPr>
          <w:lang w:val="de-DE"/>
        </w:rPr>
        <w:t>und dem Privatunternehmen „</w:t>
      </w:r>
      <w:proofErr w:type="spellStart"/>
      <w:r w:rsidRPr="00DE0D9A">
        <w:rPr>
          <w:lang w:val="de-DE"/>
        </w:rPr>
        <w:t>Vimar</w:t>
      </w:r>
      <w:proofErr w:type="spellEnd"/>
      <w:r w:rsidRPr="00DE0D9A">
        <w:rPr>
          <w:lang w:val="de-DE"/>
        </w:rPr>
        <w:t xml:space="preserve">-Trade“, </w:t>
      </w:r>
      <w:r w:rsidR="007304CC" w:rsidRPr="00DE0D9A">
        <w:rPr>
          <w:lang w:val="de-DE"/>
        </w:rPr>
        <w:t>(</w:t>
      </w:r>
      <w:r w:rsidRPr="00DE0D9A">
        <w:rPr>
          <w:lang w:val="de-DE"/>
        </w:rPr>
        <w:t>Lizenznehmer). Gemäß dieser Vereinbarung wird dem Lizenznehmer das Recht eingeräumt, das Zeichen „</w:t>
      </w:r>
      <w:r w:rsidR="00A01C6D" w:rsidRPr="00DE0D9A">
        <w:rPr>
          <w:lang w:val="de-DE"/>
        </w:rPr>
        <w:t>FSC</w:t>
      </w:r>
      <w:r w:rsidRPr="00DE0D9A">
        <w:rPr>
          <w:lang w:val="de-DE"/>
        </w:rPr>
        <w:t>“ zu verwenden. mit einem Nachtrag in Handelsverträgen über Holzprodukte, die von ihm erstellt oder vertrieben werden. Die Verwendung der Marke erfolgt bei der Kennzeichnung von Holzprodukten und im Schriftverkehr mit anderen Geschäftspartnern und Kunden des Lizenznehmers. Die Marke ist weltweit einsetzbar /</w:t>
      </w:r>
      <w:r w:rsidR="00DE0D9A" w:rsidRPr="00DE0D9A">
        <w:rPr>
          <w:lang w:val="de-DE"/>
        </w:rPr>
        <w:t>Bd.1 S</w:t>
      </w:r>
      <w:r w:rsidRPr="00DE0D9A">
        <w:rPr>
          <w:lang w:val="de-DE"/>
        </w:rPr>
        <w:t>.223-225/.</w:t>
      </w:r>
    </w:p>
    <w:p w14:paraId="7AF98075" w14:textId="4C04C408" w:rsidR="001F10DD" w:rsidRPr="00DE0D9A" w:rsidRDefault="001F10DD" w:rsidP="0018243A">
      <w:pPr>
        <w:pStyle w:val="Listenabsatz"/>
        <w:numPr>
          <w:ilvl w:val="0"/>
          <w:numId w:val="5"/>
        </w:numPr>
        <w:jc w:val="both"/>
        <w:rPr>
          <w:lang w:val="de-DE"/>
        </w:rPr>
      </w:pPr>
      <w:r w:rsidRPr="00DE0D9A">
        <w:rPr>
          <w:lang w:val="de-DE"/>
        </w:rPr>
        <w:t xml:space="preserve">die EUROBINIA-Bestellung vom 2. April 2016, die bestätigt, dass die Beklagte mit Bestätigung dieser Bestellung </w:t>
      </w:r>
      <w:r w:rsidR="00A01C6D" w:rsidRPr="00DE0D9A">
        <w:rPr>
          <w:lang w:val="de-DE"/>
        </w:rPr>
        <w:t>Ware</w:t>
      </w:r>
      <w:r w:rsidRPr="00DE0D9A">
        <w:rPr>
          <w:lang w:val="de-DE"/>
        </w:rPr>
        <w:t xml:space="preserve"> aus Robinien</w:t>
      </w:r>
      <w:r w:rsidR="00A01C6D" w:rsidRPr="00DE0D9A">
        <w:rPr>
          <w:lang w:val="de-DE"/>
        </w:rPr>
        <w:t>holz</w:t>
      </w:r>
      <w:r w:rsidRPr="00DE0D9A">
        <w:rPr>
          <w:lang w:val="de-DE"/>
        </w:rPr>
        <w:t xml:space="preserve"> bei „</w:t>
      </w:r>
      <w:proofErr w:type="spellStart"/>
      <w:r w:rsidRPr="00DE0D9A">
        <w:rPr>
          <w:lang w:val="de-DE"/>
        </w:rPr>
        <w:t>Vimar</w:t>
      </w:r>
      <w:proofErr w:type="spellEnd"/>
      <w:r w:rsidRPr="00DE0D9A">
        <w:rPr>
          <w:lang w:val="de-DE"/>
        </w:rPr>
        <w:t xml:space="preserve">-Trade“ PE bestellt hat /Bd. 1 </w:t>
      </w:r>
      <w:proofErr w:type="spellStart"/>
      <w:r w:rsidRPr="00DE0D9A">
        <w:rPr>
          <w:lang w:val="de-DE"/>
        </w:rPr>
        <w:t>a.s.</w:t>
      </w:r>
      <w:proofErr w:type="spellEnd"/>
      <w:r w:rsidRPr="00DE0D9A">
        <w:rPr>
          <w:lang w:val="de-DE"/>
        </w:rPr>
        <w:t xml:space="preserve"> 226-228/;</w:t>
      </w:r>
    </w:p>
    <w:p w14:paraId="50C2076F" w14:textId="7E06BC0A" w:rsidR="001F10DD" w:rsidRPr="00DE0D9A" w:rsidRDefault="001F10DD" w:rsidP="007304CC">
      <w:pPr>
        <w:pStyle w:val="Listenabsatz"/>
        <w:numPr>
          <w:ilvl w:val="0"/>
          <w:numId w:val="5"/>
        </w:numPr>
        <w:rPr>
          <w:lang w:val="de-DE"/>
        </w:rPr>
      </w:pPr>
      <w:r w:rsidRPr="00DE0D9A">
        <w:rPr>
          <w:lang w:val="de-DE"/>
        </w:rPr>
        <w:t>Vertrag Nr. 040416 vom 4. April 2016 zwischen PE „</w:t>
      </w:r>
      <w:proofErr w:type="spellStart"/>
      <w:r w:rsidRPr="00DE0D9A">
        <w:rPr>
          <w:lang w:val="de-DE"/>
        </w:rPr>
        <w:t>Vimar</w:t>
      </w:r>
      <w:proofErr w:type="spellEnd"/>
      <w:r w:rsidRPr="00DE0D9A">
        <w:rPr>
          <w:lang w:val="de-DE"/>
        </w:rPr>
        <w:t xml:space="preserve">-Trade“ und Robinia Development </w:t>
      </w:r>
      <w:r w:rsidR="00A01C6D" w:rsidRPr="00DE0D9A">
        <w:rPr>
          <w:lang w:val="de-DE"/>
        </w:rPr>
        <w:t>DOO</w:t>
      </w:r>
      <w:r w:rsidRPr="00DE0D9A">
        <w:rPr>
          <w:lang w:val="de-DE"/>
        </w:rPr>
        <w:t xml:space="preserve">, vertreten durch </w:t>
      </w:r>
      <w:r w:rsidR="00521BA2" w:rsidRPr="00DE0D9A">
        <w:rPr>
          <w:lang w:val="de-DE"/>
        </w:rPr>
        <w:t>Gerriet Harms</w:t>
      </w:r>
      <w:r w:rsidRPr="00DE0D9A">
        <w:rPr>
          <w:lang w:val="de-DE"/>
        </w:rPr>
        <w:t>, über den Kauf und Verkauf von Produkten /</w:t>
      </w:r>
      <w:r w:rsidR="00DE0D9A" w:rsidRPr="00DE0D9A">
        <w:rPr>
          <w:lang w:val="de-DE"/>
        </w:rPr>
        <w:t>Bd. 1 S</w:t>
      </w:r>
      <w:r w:rsidRPr="00DE0D9A">
        <w:rPr>
          <w:lang w:val="de-DE"/>
        </w:rPr>
        <w:t>.229-238/.</w:t>
      </w:r>
    </w:p>
    <w:p w14:paraId="3EA3FBC6" w14:textId="3317E405" w:rsidR="001F10DD" w:rsidRPr="00977549" w:rsidRDefault="00452A77" w:rsidP="0018243A">
      <w:pPr>
        <w:jc w:val="both"/>
        <w:rPr>
          <w:lang w:val="de-DE"/>
        </w:rPr>
      </w:pPr>
      <w:r w:rsidRPr="00977549">
        <w:rPr>
          <w:lang w:val="de-DE"/>
        </w:rPr>
        <w:t xml:space="preserve">Bei der Prüfung des Falles betonte die Beklagte das Vorliegen von Umständen, die die Verwendung der Marke ungeachtet des Willens des Zertifikatsinhabers verhinderten, insbesondere wurden Beschränkungen und Verbote im Zusammenhang mit der Ausfuhr von Holz und Holzmaterialien hervorgehoben. </w:t>
      </w:r>
      <w:r w:rsidR="007304CC" w:rsidRPr="00977549">
        <w:rPr>
          <w:lang w:val="de-DE"/>
        </w:rPr>
        <w:t>Der</w:t>
      </w:r>
      <w:r w:rsidRPr="00977549">
        <w:rPr>
          <w:lang w:val="de-DE"/>
        </w:rPr>
        <w:t xml:space="preserve"> Beklagte beruft sich auf Art. 2 des Gesetzes der Ukraine „Über die Besonderheiten der staatlichen Regulierung von Wirtschaftssubjekten im Zusammenhang mit dem Verkauf und Export von Holz“ vom 8. September 2005 Nr. 2860-IV, nach dessen Bestimmungen der Export von wertvollem und seltenem Holz erfolgt und </w:t>
      </w:r>
      <w:r w:rsidR="00A01C6D" w:rsidRPr="00977549">
        <w:rPr>
          <w:lang w:val="de-DE"/>
        </w:rPr>
        <w:t xml:space="preserve">den Export von </w:t>
      </w:r>
      <w:r w:rsidRPr="00977549">
        <w:rPr>
          <w:lang w:val="de-DE"/>
        </w:rPr>
        <w:t xml:space="preserve">Schnittholz </w:t>
      </w:r>
      <w:r w:rsidR="00AF4AB1" w:rsidRPr="00977549">
        <w:rPr>
          <w:lang w:val="de-DE"/>
        </w:rPr>
        <w:t xml:space="preserve">diese Baumarten </w:t>
      </w:r>
      <w:r w:rsidRPr="00977549">
        <w:rPr>
          <w:lang w:val="de-DE"/>
        </w:rPr>
        <w:t>außerhalb des Zollgebiets der Ukraine verb</w:t>
      </w:r>
      <w:r w:rsidR="00AF4AB1" w:rsidRPr="00977549">
        <w:rPr>
          <w:lang w:val="de-DE"/>
        </w:rPr>
        <w:t>ie</w:t>
      </w:r>
      <w:r w:rsidRPr="00977549">
        <w:rPr>
          <w:lang w:val="de-DE"/>
        </w:rPr>
        <w:t>te</w:t>
      </w:r>
      <w:r w:rsidR="00AF4AB1" w:rsidRPr="00977549">
        <w:rPr>
          <w:lang w:val="de-DE"/>
        </w:rPr>
        <w:t>t</w:t>
      </w:r>
      <w:r w:rsidRPr="00977549">
        <w:rPr>
          <w:lang w:val="de-DE"/>
        </w:rPr>
        <w:t xml:space="preserve">. Unter den für die Ausfuhr außerhalb des Zollgebiets der Ukraine verbotenen Sorten nennt die Beklagte </w:t>
      </w:r>
      <w:r w:rsidR="00A01C6D" w:rsidRPr="00977549">
        <w:rPr>
          <w:lang w:val="de-DE"/>
        </w:rPr>
        <w:t xml:space="preserve">Robinie </w:t>
      </w:r>
      <w:r w:rsidR="00A01C6D" w:rsidRPr="00891141">
        <w:rPr>
          <w:color w:val="FF0000"/>
          <w:lang w:val="de-DE"/>
        </w:rPr>
        <w:t>(</w:t>
      </w:r>
      <w:r w:rsidR="00A01C6D" w:rsidRPr="00977549">
        <w:rPr>
          <w:lang w:val="de-DE"/>
        </w:rPr>
        <w:t xml:space="preserve">im Ukrainischen </w:t>
      </w:r>
      <w:proofErr w:type="spellStart"/>
      <w:r w:rsidR="00A01C6D" w:rsidRPr="00977549">
        <w:rPr>
          <w:lang w:val="de-DE"/>
        </w:rPr>
        <w:t>gestzt</w:t>
      </w:r>
      <w:proofErr w:type="spellEnd"/>
      <w:r w:rsidR="00A01C6D" w:rsidRPr="00977549">
        <w:rPr>
          <w:lang w:val="de-DE"/>
        </w:rPr>
        <w:t>: „</w:t>
      </w:r>
      <w:r w:rsidRPr="00977549">
        <w:rPr>
          <w:lang w:val="de-DE"/>
        </w:rPr>
        <w:t>weiße Akazie</w:t>
      </w:r>
      <w:r w:rsidR="00A01C6D" w:rsidRPr="00891141">
        <w:rPr>
          <w:color w:val="FF0000"/>
          <w:lang w:val="de-DE"/>
        </w:rPr>
        <w:t>“</w:t>
      </w:r>
      <w:r w:rsidRPr="00891141">
        <w:rPr>
          <w:color w:val="FF0000"/>
          <w:lang w:val="de-DE"/>
        </w:rPr>
        <w:t>.</w:t>
      </w:r>
    </w:p>
    <w:p w14:paraId="33FEBB97" w14:textId="528BBDDC" w:rsidR="00452A77" w:rsidRPr="00977549" w:rsidRDefault="00452A77" w:rsidP="009A3235">
      <w:pPr>
        <w:jc w:val="both"/>
        <w:rPr>
          <w:lang w:val="de-DE"/>
        </w:rPr>
      </w:pPr>
      <w:r w:rsidRPr="00977549">
        <w:rPr>
          <w:lang w:val="de-DE"/>
        </w:rPr>
        <w:t xml:space="preserve">Aufgrund der Art. 9 der Verfassung der Ukraine, </w:t>
      </w:r>
      <w:r w:rsidR="00AF4AB1" w:rsidRPr="00977549">
        <w:rPr>
          <w:lang w:val="de-DE"/>
        </w:rPr>
        <w:t xml:space="preserve">sind </w:t>
      </w:r>
      <w:r w:rsidRPr="00977549">
        <w:rPr>
          <w:lang w:val="de-DE"/>
        </w:rPr>
        <w:t>geltende internationale Verträge, d</w:t>
      </w:r>
      <w:r w:rsidR="00A01C6D" w:rsidRPr="00977549">
        <w:rPr>
          <w:lang w:val="de-DE"/>
        </w:rPr>
        <w:t>ie</w:t>
      </w:r>
      <w:r w:rsidRPr="00977549">
        <w:rPr>
          <w:lang w:val="de-DE"/>
        </w:rPr>
        <w:t xml:space="preserve"> für </w:t>
      </w:r>
      <w:r w:rsidR="00A01C6D" w:rsidRPr="00977549">
        <w:rPr>
          <w:lang w:val="de-DE"/>
        </w:rPr>
        <w:t>die</w:t>
      </w:r>
      <w:r w:rsidRPr="00977549">
        <w:rPr>
          <w:lang w:val="de-DE"/>
        </w:rPr>
        <w:t xml:space="preserve"> Ukraine bindend </w:t>
      </w:r>
      <w:r w:rsidR="00A01C6D" w:rsidRPr="00977549">
        <w:rPr>
          <w:lang w:val="de-DE"/>
        </w:rPr>
        <w:t>sind</w:t>
      </w:r>
      <w:r w:rsidRPr="00977549">
        <w:rPr>
          <w:lang w:val="de-DE"/>
        </w:rPr>
        <w:t>, Teil der nationalen Gesetzgebung der Ukraine.</w:t>
      </w:r>
    </w:p>
    <w:p w14:paraId="23F02167" w14:textId="754A97F7" w:rsidR="00AF4AB1" w:rsidRPr="00977549" w:rsidRDefault="00400A20" w:rsidP="009A3235">
      <w:pPr>
        <w:jc w:val="both"/>
        <w:rPr>
          <w:lang w:val="de-DE"/>
        </w:rPr>
      </w:pPr>
      <w:r w:rsidRPr="00977549">
        <w:rPr>
          <w:lang w:val="de-DE"/>
        </w:rPr>
        <w:t xml:space="preserve">Gemäß Art. 1 des Gesetzes der Ukraine „Über internationale Verträge der Ukraine“ und Punkt (b) von Artikel 2 des Wiener Übereinkommens über das Recht internationaler Verträge von 1969 ist die Ratifizierung eine der Formen der Zustimmung des Staates (der Ukraine) </w:t>
      </w:r>
      <w:proofErr w:type="spellStart"/>
      <w:r w:rsidRPr="00977549">
        <w:rPr>
          <w:lang w:val="de-DE"/>
        </w:rPr>
        <w:t>fuer</w:t>
      </w:r>
      <w:proofErr w:type="spellEnd"/>
      <w:r w:rsidRPr="00977549">
        <w:rPr>
          <w:lang w:val="de-DE"/>
        </w:rPr>
        <w:t xml:space="preserve"> </w:t>
      </w:r>
      <w:r w:rsidR="00A01C6D" w:rsidRPr="00977549">
        <w:rPr>
          <w:lang w:val="de-DE"/>
        </w:rPr>
        <w:t xml:space="preserve">einen </w:t>
      </w:r>
      <w:r w:rsidRPr="00977549">
        <w:rPr>
          <w:lang w:val="de-DE"/>
        </w:rPr>
        <w:t xml:space="preserve">internationalen Vertrag. </w:t>
      </w:r>
    </w:p>
    <w:p w14:paraId="4E6F4F78" w14:textId="15597527" w:rsidR="00400A20" w:rsidRPr="00977549" w:rsidRDefault="00400A20" w:rsidP="00400A20">
      <w:pPr>
        <w:rPr>
          <w:lang w:val="de-DE"/>
        </w:rPr>
      </w:pPr>
      <w:r w:rsidRPr="00977549">
        <w:rPr>
          <w:lang w:val="de-DE"/>
        </w:rPr>
        <w:t>In Übereinstimmung mit anderen Bestimmungen dieses Übereinkommens:</w:t>
      </w:r>
    </w:p>
    <w:p w14:paraId="1F48909A" w14:textId="2327543B" w:rsidR="00400A20" w:rsidRPr="00977549" w:rsidRDefault="00400A20" w:rsidP="002A0DE7">
      <w:pPr>
        <w:pStyle w:val="Listenabsatz"/>
        <w:numPr>
          <w:ilvl w:val="0"/>
          <w:numId w:val="6"/>
        </w:numPr>
        <w:jc w:val="both"/>
        <w:rPr>
          <w:lang w:val="de-DE"/>
        </w:rPr>
      </w:pPr>
      <w:r w:rsidRPr="00977549">
        <w:rPr>
          <w:lang w:val="de-DE"/>
        </w:rPr>
        <w:t xml:space="preserve">Eines der Grundprinzipien staatlicher Tätigkeit im Bereich des Völkerrechts ist die allgemein anerkannte Norm pacta </w:t>
      </w:r>
      <w:proofErr w:type="spellStart"/>
      <w:r w:rsidRPr="00977549">
        <w:rPr>
          <w:lang w:val="de-DE"/>
        </w:rPr>
        <w:t>sunt</w:t>
      </w:r>
      <w:proofErr w:type="spellEnd"/>
      <w:r w:rsidRPr="00977549">
        <w:rPr>
          <w:lang w:val="de-DE"/>
        </w:rPr>
        <w:t xml:space="preserve"> servanda (Vereinbarungen müssen erfüllt werden; Artikel 26);</w:t>
      </w:r>
    </w:p>
    <w:p w14:paraId="3DE02DE6" w14:textId="178E0D9F" w:rsidR="00452A77" w:rsidRPr="00977549" w:rsidRDefault="00400A20" w:rsidP="002A0DE7">
      <w:pPr>
        <w:pStyle w:val="Listenabsatz"/>
        <w:numPr>
          <w:ilvl w:val="0"/>
          <w:numId w:val="6"/>
        </w:numPr>
        <w:jc w:val="both"/>
        <w:rPr>
          <w:lang w:val="de-DE"/>
        </w:rPr>
      </w:pPr>
      <w:r w:rsidRPr="00977549">
        <w:rPr>
          <w:lang w:val="de-DE"/>
        </w:rPr>
        <w:t>Eine Vertragspartei des Übereinkommens kann sich nicht auf die Bestimmungen ihres innerstaatlichen Rechts als Entschuldigung für die Nichterfüllung des Vertrags berufen (Artikel 27).</w:t>
      </w:r>
    </w:p>
    <w:p w14:paraId="5C4DB51B" w14:textId="77777777" w:rsidR="00400A20" w:rsidRPr="00977549" w:rsidRDefault="00400A20" w:rsidP="00400A20">
      <w:pPr>
        <w:rPr>
          <w:lang w:val="de-DE"/>
        </w:rPr>
      </w:pPr>
    </w:p>
    <w:p w14:paraId="2C29C3DF" w14:textId="05CECC4A" w:rsidR="00400A20" w:rsidRPr="00977549" w:rsidRDefault="00C07132" w:rsidP="002A0DE7">
      <w:pPr>
        <w:jc w:val="both"/>
        <w:rPr>
          <w:lang w:val="de-DE"/>
        </w:rPr>
      </w:pPr>
      <w:r w:rsidRPr="00977549">
        <w:rPr>
          <w:lang w:val="de-DE"/>
        </w:rPr>
        <w:lastRenderedPageBreak/>
        <w:t>Gemäß Artikel 19 des Gesetzes der Ukraine „Über internationale Verträge der Ukraine“ sind geltende internationale Verträge der Ukraine, deren verbindliche Zustimmung die Werchowna Rada der Ukraine erteilt hat, Teil der nationalen Gesetzgebung und werden entsprechend angewendet für die Normen der nationalen Gesetzgebung</w:t>
      </w:r>
      <w:r w:rsidR="00D0144F" w:rsidRPr="00977549">
        <w:rPr>
          <w:lang w:val="de-DE"/>
        </w:rPr>
        <w:t>.</w:t>
      </w:r>
      <w:r w:rsidRPr="00977549">
        <w:rPr>
          <w:lang w:val="de-DE"/>
        </w:rPr>
        <w:t xml:space="preserve"> Wenn der internationale Vertrag der Ukraine, der nach dem festgelegten Verfahren in Kraft getreten ist, andere Regeln als die im entsprechenden Gesetz der Ukraine vorgesehenen festlegt, gelten die Regeln des internationalen Vertrags</w:t>
      </w:r>
      <w:r w:rsidR="00D0144F" w:rsidRPr="00977549">
        <w:rPr>
          <w:lang w:val="de-DE"/>
        </w:rPr>
        <w:t>.</w:t>
      </w:r>
    </w:p>
    <w:p w14:paraId="594C0D8A" w14:textId="77777777" w:rsidR="00C07132" w:rsidRPr="00977549" w:rsidRDefault="00C07132" w:rsidP="002A0DE7">
      <w:pPr>
        <w:jc w:val="both"/>
        <w:rPr>
          <w:lang w:val="de-DE"/>
        </w:rPr>
      </w:pPr>
      <w:r w:rsidRPr="00977549">
        <w:rPr>
          <w:lang w:val="de-DE"/>
        </w:rPr>
        <w:t>Artikel 10 des Bürgerlichen Gesetzbuches der Ukraine enthält inhaltlich ähnliche Bestimmungen.</w:t>
      </w:r>
    </w:p>
    <w:p w14:paraId="68C6BF56" w14:textId="77777777" w:rsidR="00D0144F" w:rsidRPr="00977549" w:rsidRDefault="00C07132" w:rsidP="002A0DE7">
      <w:pPr>
        <w:jc w:val="both"/>
        <w:rPr>
          <w:lang w:val="de-DE"/>
        </w:rPr>
      </w:pPr>
      <w:r w:rsidRPr="00977549">
        <w:rPr>
          <w:lang w:val="de-DE"/>
        </w:rPr>
        <w:t xml:space="preserve">Gemäß den Bestimmungen des Teils. 1, 2, 7 von Artikel 10 der Zivilprozessordnung der Ukraine: </w:t>
      </w:r>
    </w:p>
    <w:p w14:paraId="55B04491" w14:textId="697FD978" w:rsidR="00C07132" w:rsidRPr="00977549" w:rsidRDefault="00C07132" w:rsidP="002A0DE7">
      <w:pPr>
        <w:jc w:val="both"/>
        <w:rPr>
          <w:lang w:val="de-DE"/>
        </w:rPr>
      </w:pPr>
      <w:r w:rsidRPr="00977549">
        <w:rPr>
          <w:lang w:val="de-DE"/>
        </w:rPr>
        <w:t>Das Gericht orientiert sich bei der Prüfung eines Falles am Grundsatz der Rechtsstaatlichkeit. Das Gericht verhandelt Fälle im Einklang mit der Verfassung der Ukraine, den Gesetzen der Ukraine und internationalen Verträgen, deren verbindliche Zustimmung die Werchowna Rada der Ukraine erteilt hat. Im Falle der Unvereinbarkeit des Rechtsakts mit dem internationalen Vertrag, dessen Verbindlichkeit die Werchowna Rada der Ukraine zugestimmt hat, wendet das Gericht den internationalen Vertrag der Ukraine an.</w:t>
      </w:r>
    </w:p>
    <w:p w14:paraId="66435BEB" w14:textId="4F60E516" w:rsidR="00C07132" w:rsidRPr="00977549" w:rsidRDefault="00C07132" w:rsidP="00534921">
      <w:pPr>
        <w:jc w:val="both"/>
        <w:rPr>
          <w:lang w:val="de-DE"/>
        </w:rPr>
      </w:pPr>
      <w:r w:rsidRPr="00977549">
        <w:rPr>
          <w:lang w:val="de-DE"/>
        </w:rPr>
        <w:t xml:space="preserve">Das Assoziierungsabkommen </w:t>
      </w:r>
      <w:r w:rsidR="00D0144F" w:rsidRPr="00977549">
        <w:rPr>
          <w:lang w:val="de-DE"/>
        </w:rPr>
        <w:t xml:space="preserve">wurde </w:t>
      </w:r>
      <w:r w:rsidRPr="00977549">
        <w:rPr>
          <w:lang w:val="de-DE"/>
        </w:rPr>
        <w:t xml:space="preserve">zwischen der Ukraine einerseits und der Europäischen Union, der Europäischen Atomgemeinschaft und ihren Mitgliedstaaten andererseits (im Folgenden: Assoziierungsabkommen) am 21. März </w:t>
      </w:r>
      <w:r w:rsidR="00D0144F" w:rsidRPr="00977549">
        <w:rPr>
          <w:lang w:val="de-DE"/>
        </w:rPr>
        <w:t xml:space="preserve">und 27. Juni </w:t>
      </w:r>
      <w:r w:rsidRPr="00977549">
        <w:rPr>
          <w:lang w:val="de-DE"/>
        </w:rPr>
        <w:t xml:space="preserve">2014 </w:t>
      </w:r>
      <w:r w:rsidR="00D0144F" w:rsidRPr="00977549">
        <w:rPr>
          <w:lang w:val="de-DE"/>
        </w:rPr>
        <w:t>b</w:t>
      </w:r>
      <w:r w:rsidRPr="00977549">
        <w:rPr>
          <w:lang w:val="de-DE"/>
        </w:rPr>
        <w:t>eschlossen</w:t>
      </w:r>
      <w:r w:rsidR="00D0144F" w:rsidRPr="00977549">
        <w:rPr>
          <w:lang w:val="de-DE"/>
        </w:rPr>
        <w:t>.</w:t>
      </w:r>
      <w:r w:rsidRPr="00977549">
        <w:rPr>
          <w:lang w:val="de-DE"/>
        </w:rPr>
        <w:t xml:space="preserve"> </w:t>
      </w:r>
      <w:r w:rsidR="00D0144F" w:rsidRPr="00977549">
        <w:rPr>
          <w:lang w:val="de-DE"/>
        </w:rPr>
        <w:t>Es wurde i</w:t>
      </w:r>
      <w:r w:rsidRPr="00977549">
        <w:rPr>
          <w:lang w:val="de-DE"/>
        </w:rPr>
        <w:t>n Brüssel unterzeichnet und am 16. September 2014 von der Ukraine gemäß dem Gesetz der Ukraine „Über die Ratifizierung des Assoziierungsabkommens zwischen der Ukraine“ ratifiziert</w:t>
      </w:r>
      <w:r w:rsidR="00D0144F" w:rsidRPr="00977549">
        <w:rPr>
          <w:lang w:val="de-DE"/>
        </w:rPr>
        <w:t>. Es</w:t>
      </w:r>
      <w:r w:rsidRPr="00977549">
        <w:rPr>
          <w:lang w:val="de-DE"/>
        </w:rPr>
        <w:t xml:space="preserve"> enthält die folgenden Bestimmungen.</w:t>
      </w:r>
    </w:p>
    <w:p w14:paraId="412A4021" w14:textId="0A8E3D8E" w:rsidR="00C07132" w:rsidRPr="00977549" w:rsidRDefault="00C07132" w:rsidP="00534921">
      <w:pPr>
        <w:jc w:val="both"/>
        <w:rPr>
          <w:lang w:val="de-DE"/>
        </w:rPr>
      </w:pPr>
      <w:r w:rsidRPr="00977549">
        <w:rPr>
          <w:lang w:val="de-DE"/>
        </w:rPr>
        <w:t xml:space="preserve">Art. 157 </w:t>
      </w:r>
      <w:r w:rsidR="00D0144F" w:rsidRPr="00977549">
        <w:rPr>
          <w:lang w:val="de-DE"/>
        </w:rPr>
        <w:t xml:space="preserve">bestehen die </w:t>
      </w:r>
      <w:r w:rsidRPr="00977549">
        <w:rPr>
          <w:lang w:val="de-DE"/>
        </w:rPr>
        <w:t xml:space="preserve">Ziele dieses </w:t>
      </w:r>
      <w:r w:rsidR="00D0144F" w:rsidRPr="00977549">
        <w:rPr>
          <w:lang w:val="de-DE"/>
        </w:rPr>
        <w:t>Assoziierungsabkommen</w:t>
      </w:r>
      <w:r w:rsidRPr="00977549">
        <w:rPr>
          <w:lang w:val="de-DE"/>
        </w:rPr>
        <w:t xml:space="preserve"> insbesondere darin, ein angemessenes und wirksames Schutzniveau für die Rechte des geistigen Eigentums zu erreichen.</w:t>
      </w:r>
    </w:p>
    <w:p w14:paraId="0CEB1233" w14:textId="77777777" w:rsidR="00C07132" w:rsidRPr="00977549" w:rsidRDefault="00C07132" w:rsidP="00534921">
      <w:pPr>
        <w:jc w:val="both"/>
        <w:rPr>
          <w:lang w:val="de-DE"/>
        </w:rPr>
      </w:pPr>
      <w:r w:rsidRPr="00977549">
        <w:rPr>
          <w:lang w:val="de-DE"/>
        </w:rPr>
        <w:t>Zu den geistigen Eigentumsrechten im Sinne dieser Vereinbarung zählen insbesondere Marken (Artikel 158).</w:t>
      </w:r>
    </w:p>
    <w:p w14:paraId="3125EAB2" w14:textId="1857B073" w:rsidR="00C07132" w:rsidRPr="00977549" w:rsidRDefault="00474217" w:rsidP="00EF677A">
      <w:pPr>
        <w:jc w:val="both"/>
        <w:rPr>
          <w:lang w:val="de-DE"/>
        </w:rPr>
      </w:pPr>
      <w:r w:rsidRPr="00977549">
        <w:rPr>
          <w:lang w:val="de-DE"/>
        </w:rPr>
        <w:t>Aufgrund der Art. 198 sehen Parteien vor, dass die Eintragung einer Marke gelöscht werden kann, wenn sie innerhalb eines ununterbrochenen Zeitraums von fünf Jahren nicht in dem betreffenden Gebiet für die Waren oder Dienstleistungen, für die sie eingetragen ist, in Gebrauch genommen wurde und keine entsprechenden Gründe für die Nichtnutzung</w:t>
      </w:r>
      <w:r w:rsidR="00D0144F" w:rsidRPr="00977549">
        <w:rPr>
          <w:lang w:val="de-DE"/>
        </w:rPr>
        <w:t xml:space="preserve"> bestehen</w:t>
      </w:r>
      <w:r w:rsidRPr="00977549">
        <w:rPr>
          <w:lang w:val="de-DE"/>
        </w:rPr>
        <w:t xml:space="preserve">; Allerdings kann niemand die Löschung der Rechte des Inhabers an der Marke verlangen, wenn in der Zeit zwischen dem Ende der Fünfjahresfrist und der Einreichung des Löschungsantrags die tatsächliche Nutzung der Marke begonnen oder wieder aufgenommen wurde; der Beginn der Nutzung oder deren Verlängerung während des der Widerrufserklärung vorangehenden Dreimonatszeitraums, der unmittelbar nach dem Ende des ununterbrochenen fünfjährigen Zeitraums der Nichtbenutzung begonnen hat, bleibt außer Betracht, wenn die Vorbereitung für den Beginn </w:t>
      </w:r>
      <w:proofErr w:type="spellStart"/>
      <w:r w:rsidRPr="00977549">
        <w:rPr>
          <w:lang w:val="de-DE"/>
        </w:rPr>
        <w:t>bzw</w:t>
      </w:r>
      <w:proofErr w:type="spellEnd"/>
      <w:r w:rsidRPr="00977549">
        <w:rPr>
          <w:lang w:val="de-DE"/>
        </w:rPr>
        <w:t xml:space="preserve"> eine Erneuerung der Nutzung erfolgt nur in Verbindung mit der Tatsache, dass dem Eigentümer die Möglichkeit bekannt ist, einen Löschungsantrag zu stellen.</w:t>
      </w:r>
    </w:p>
    <w:p w14:paraId="101433F8" w14:textId="77777777" w:rsidR="00D0144F" w:rsidRPr="00977549" w:rsidRDefault="00B41CEC" w:rsidP="000D1474">
      <w:pPr>
        <w:jc w:val="both"/>
        <w:rPr>
          <w:lang w:val="de-DE"/>
        </w:rPr>
      </w:pPr>
      <w:r w:rsidRPr="00977549">
        <w:rPr>
          <w:lang w:val="de-DE"/>
        </w:rPr>
        <w:t xml:space="preserve">Eine Marke kann auch dann gelöscht werden, wenn sie nach dem Datum ihrer Eintragung: </w:t>
      </w:r>
    </w:p>
    <w:p w14:paraId="7BCA2D1A" w14:textId="77777777" w:rsidR="00D0144F" w:rsidRPr="00977549" w:rsidRDefault="00B41CEC" w:rsidP="00A66F17">
      <w:pPr>
        <w:jc w:val="both"/>
        <w:rPr>
          <w:lang w:val="de-DE"/>
        </w:rPr>
      </w:pPr>
      <w:r w:rsidRPr="00977549">
        <w:rPr>
          <w:lang w:val="de-DE"/>
        </w:rPr>
        <w:t xml:space="preserve">a) durch die Handlungen oder Unterlassungen des Inhabers allgemein als Bezeichnung im Verkehr der Waren oder Dienstleistungen verwendet wird, für die sie eingetragen ist; </w:t>
      </w:r>
    </w:p>
    <w:p w14:paraId="16A98309" w14:textId="721A7367" w:rsidR="00474217" w:rsidRPr="00977549" w:rsidRDefault="00B41CEC" w:rsidP="00A66F17">
      <w:pPr>
        <w:jc w:val="both"/>
        <w:rPr>
          <w:lang w:val="de-DE"/>
        </w:rPr>
      </w:pPr>
      <w:r w:rsidRPr="00977549">
        <w:rPr>
          <w:lang w:val="de-DE"/>
        </w:rPr>
        <w:t>b) die Verwendung der Marke durch ihren Inhaber oder mit seiner Genehmigung für die Waren oder Dienstleistungen, für die sie eingetragen ist, geeignet ist, den Verbraucher irrezuführen, insbesondere hinsichtlich der Art, Qualität oder geografischen Herkunft dieser Waren oder Dienstleistungen.</w:t>
      </w:r>
    </w:p>
    <w:p w14:paraId="0014B7FB" w14:textId="77777777" w:rsidR="00B41CEC" w:rsidRPr="00977549" w:rsidRDefault="00B41CEC" w:rsidP="00A66F17">
      <w:pPr>
        <w:jc w:val="both"/>
        <w:rPr>
          <w:lang w:val="de-DE"/>
        </w:rPr>
      </w:pPr>
      <w:r w:rsidRPr="00977549">
        <w:rPr>
          <w:lang w:val="de-DE"/>
        </w:rPr>
        <w:lastRenderedPageBreak/>
        <w:t>Teil 2 der Art. 497 des Bürgerlichen Gesetzbuches der Ukraine sieht vor, dass die Gültigkeit von Rechten des geistigen Eigentums an einer Marke auf Initiative der Person, der sie gehören, vorzeitig beendet werden kann, wenn dies nicht im Widerspruch zu den Vertragsbedingungen steht, sowie in anderen Fällen gesetzlich vorgesehen.</w:t>
      </w:r>
    </w:p>
    <w:p w14:paraId="0F562909" w14:textId="77777777" w:rsidR="00D0144F" w:rsidRPr="00977549" w:rsidRDefault="00D8066E" w:rsidP="00A66F17">
      <w:pPr>
        <w:jc w:val="both"/>
        <w:rPr>
          <w:lang w:val="de-DE"/>
        </w:rPr>
      </w:pPr>
      <w:r w:rsidRPr="00977549">
        <w:rPr>
          <w:lang w:val="de-DE"/>
        </w:rPr>
        <w:t xml:space="preserve">Gemäß Teil 2.4 </w:t>
      </w:r>
      <w:r w:rsidR="00D0144F" w:rsidRPr="00977549">
        <w:rPr>
          <w:lang w:val="de-DE"/>
        </w:rPr>
        <w:t>der Artikel</w:t>
      </w:r>
      <w:r w:rsidRPr="00977549">
        <w:rPr>
          <w:lang w:val="de-DE"/>
        </w:rPr>
        <w:t xml:space="preserve"> 16 des Gesetzes der Ukraine „Über den Schutz der Rechte an Marken für Waren und Dienstleistungen“ (in der zum Zeitpunkt des umstrittenen Rechtsverhältnisses geänderten Fassung) berechtigt das Zertifikat seinen Inhaber zur Nutzung der Marke und anderer in diesem Gesetz festgelegter Rechte. </w:t>
      </w:r>
    </w:p>
    <w:p w14:paraId="4119D387" w14:textId="77777777" w:rsidR="00D0144F" w:rsidRPr="00977549" w:rsidRDefault="00D8066E" w:rsidP="00C07132">
      <w:pPr>
        <w:rPr>
          <w:lang w:val="de-DE"/>
        </w:rPr>
      </w:pPr>
      <w:r w:rsidRPr="00977549">
        <w:rPr>
          <w:lang w:val="de-DE"/>
        </w:rPr>
        <w:t xml:space="preserve">Als Verwendung der Marke gilt Folgendes: </w:t>
      </w:r>
    </w:p>
    <w:p w14:paraId="79302AAB" w14:textId="77777777" w:rsidR="00D0144F" w:rsidRPr="00977549" w:rsidRDefault="00D8066E" w:rsidP="00D0144F">
      <w:pPr>
        <w:pStyle w:val="Listenabsatz"/>
        <w:numPr>
          <w:ilvl w:val="0"/>
          <w:numId w:val="7"/>
        </w:numPr>
        <w:rPr>
          <w:lang w:val="de-DE"/>
        </w:rPr>
      </w:pPr>
      <w:r w:rsidRPr="00977549">
        <w:rPr>
          <w:lang w:val="de-DE"/>
        </w:rPr>
        <w:t xml:space="preserve">Anbringen an einem Produkt, für das die Marke eingetragen ist, </w:t>
      </w:r>
    </w:p>
    <w:p w14:paraId="3EF6A46F" w14:textId="77777777" w:rsidR="00D0144F" w:rsidRPr="00977549" w:rsidRDefault="00D8066E" w:rsidP="00D0144F">
      <w:pPr>
        <w:pStyle w:val="Listenabsatz"/>
        <w:numPr>
          <w:ilvl w:val="0"/>
          <w:numId w:val="7"/>
        </w:numPr>
        <w:rPr>
          <w:lang w:val="de-DE"/>
        </w:rPr>
      </w:pPr>
      <w:r w:rsidRPr="00977549">
        <w:rPr>
          <w:lang w:val="de-DE"/>
        </w:rPr>
        <w:t xml:space="preserve">an einer Verpackung, die ein solches Produkt enthält, </w:t>
      </w:r>
    </w:p>
    <w:p w14:paraId="396A3BBB" w14:textId="77777777" w:rsidR="00D0144F" w:rsidRPr="00977549" w:rsidRDefault="00D8066E" w:rsidP="00D0144F">
      <w:pPr>
        <w:pStyle w:val="Listenabsatz"/>
        <w:numPr>
          <w:ilvl w:val="0"/>
          <w:numId w:val="7"/>
        </w:numPr>
        <w:rPr>
          <w:lang w:val="de-DE"/>
        </w:rPr>
      </w:pPr>
      <w:r w:rsidRPr="00977549">
        <w:rPr>
          <w:lang w:val="de-DE"/>
        </w:rPr>
        <w:t xml:space="preserve">an einem damit verbundenen Zeichen, </w:t>
      </w:r>
    </w:p>
    <w:p w14:paraId="0F5D0764" w14:textId="77777777" w:rsidR="00D0144F" w:rsidRPr="00977549" w:rsidRDefault="00D8066E" w:rsidP="00D0144F">
      <w:pPr>
        <w:pStyle w:val="Listenabsatz"/>
        <w:numPr>
          <w:ilvl w:val="0"/>
          <w:numId w:val="7"/>
        </w:numPr>
        <w:rPr>
          <w:lang w:val="de-DE"/>
        </w:rPr>
      </w:pPr>
      <w:r w:rsidRPr="00977549">
        <w:rPr>
          <w:lang w:val="de-DE"/>
        </w:rPr>
        <w:t xml:space="preserve">an einem Etikett, </w:t>
      </w:r>
    </w:p>
    <w:p w14:paraId="09D98673" w14:textId="77777777" w:rsidR="00D0144F" w:rsidRPr="00977549" w:rsidRDefault="00D8066E" w:rsidP="00D0144F">
      <w:pPr>
        <w:pStyle w:val="Listenabsatz"/>
        <w:numPr>
          <w:ilvl w:val="0"/>
          <w:numId w:val="7"/>
        </w:numPr>
        <w:rPr>
          <w:lang w:val="de-DE"/>
        </w:rPr>
      </w:pPr>
      <w:r w:rsidRPr="00977549">
        <w:rPr>
          <w:lang w:val="de-DE"/>
        </w:rPr>
        <w:t xml:space="preserve">einem Patch, </w:t>
      </w:r>
    </w:p>
    <w:p w14:paraId="32512D7F" w14:textId="77777777" w:rsidR="00D0144F" w:rsidRPr="00977549" w:rsidRDefault="00D8066E" w:rsidP="00D0144F">
      <w:pPr>
        <w:pStyle w:val="Listenabsatz"/>
        <w:numPr>
          <w:ilvl w:val="0"/>
          <w:numId w:val="7"/>
        </w:numPr>
        <w:rPr>
          <w:lang w:val="de-DE"/>
        </w:rPr>
      </w:pPr>
      <w:r w:rsidRPr="00977549">
        <w:rPr>
          <w:lang w:val="de-DE"/>
        </w:rPr>
        <w:t xml:space="preserve">einem Etikett oder einem anderen am Produkt angebrachten Gegenstand, </w:t>
      </w:r>
    </w:p>
    <w:p w14:paraId="31E3745C" w14:textId="77777777" w:rsidR="00D0144F" w:rsidRPr="00977549" w:rsidRDefault="00D8066E" w:rsidP="00D0144F">
      <w:pPr>
        <w:pStyle w:val="Listenabsatz"/>
        <w:numPr>
          <w:ilvl w:val="0"/>
          <w:numId w:val="7"/>
        </w:numPr>
        <w:rPr>
          <w:lang w:val="de-DE"/>
        </w:rPr>
      </w:pPr>
      <w:r w:rsidRPr="00977549">
        <w:rPr>
          <w:lang w:val="de-DE"/>
        </w:rPr>
        <w:t xml:space="preserve">an der Lagerung eines solchen Produkts mit dem angegebenen Anbringen eines Zeichens zum Zweck des Anbietens zum Verkauf, </w:t>
      </w:r>
    </w:p>
    <w:p w14:paraId="092DC9AD" w14:textId="77777777" w:rsidR="00D0144F" w:rsidRPr="00977549" w:rsidRDefault="00D8066E" w:rsidP="00D0144F">
      <w:pPr>
        <w:pStyle w:val="Listenabsatz"/>
        <w:numPr>
          <w:ilvl w:val="0"/>
          <w:numId w:val="7"/>
        </w:numPr>
        <w:rPr>
          <w:lang w:val="de-DE"/>
        </w:rPr>
      </w:pPr>
      <w:r w:rsidRPr="00977549">
        <w:rPr>
          <w:lang w:val="de-DE"/>
        </w:rPr>
        <w:t xml:space="preserve">Anbieten zum Verkauf, Verkauf, Import (Import) und Export (Export); </w:t>
      </w:r>
    </w:p>
    <w:p w14:paraId="2BF7414F" w14:textId="77777777" w:rsidR="00D0144F" w:rsidRPr="00977549" w:rsidRDefault="00D8066E" w:rsidP="00D0144F">
      <w:pPr>
        <w:pStyle w:val="Listenabsatz"/>
        <w:numPr>
          <w:ilvl w:val="0"/>
          <w:numId w:val="7"/>
        </w:numPr>
        <w:rPr>
          <w:lang w:val="de-DE"/>
        </w:rPr>
      </w:pPr>
      <w:r w:rsidRPr="00977549">
        <w:rPr>
          <w:lang w:val="de-DE"/>
        </w:rPr>
        <w:t xml:space="preserve">die Verwendung beim Anbieten und Erbringen von Dienstleistungen, für die die Marke eingetragen ist; </w:t>
      </w:r>
    </w:p>
    <w:p w14:paraId="35E2C524" w14:textId="3C9E9CEF" w:rsidR="00B41CEC" w:rsidRPr="00977549" w:rsidRDefault="00D8066E" w:rsidP="00D0144F">
      <w:pPr>
        <w:pStyle w:val="Listenabsatz"/>
        <w:numPr>
          <w:ilvl w:val="0"/>
          <w:numId w:val="7"/>
        </w:numPr>
        <w:rPr>
          <w:lang w:val="de-DE"/>
        </w:rPr>
      </w:pPr>
      <w:r w:rsidRPr="00977549">
        <w:rPr>
          <w:lang w:val="de-DE"/>
        </w:rPr>
        <w:t>seine Verwendung in Geschäftsdokumenten oder in der Werbung und im Internet.</w:t>
      </w:r>
    </w:p>
    <w:p w14:paraId="57B1CF51" w14:textId="06F70D99" w:rsidR="00D8066E" w:rsidRPr="00977549" w:rsidRDefault="00D8066E" w:rsidP="00A66F17">
      <w:pPr>
        <w:jc w:val="both"/>
        <w:rPr>
          <w:lang w:val="de-DE"/>
        </w:rPr>
      </w:pPr>
      <w:r w:rsidRPr="00977549">
        <w:rPr>
          <w:lang w:val="de-DE"/>
        </w:rPr>
        <w:t>Gemäß Teil 4 der Art. 18 des Gesetzes der Ukraine „Über den Schutz der Rechte an Marken für Waren und Dienstleistungen“</w:t>
      </w:r>
      <w:r w:rsidR="007B48D1" w:rsidRPr="00977549">
        <w:rPr>
          <w:lang w:val="de-DE"/>
        </w:rPr>
        <w:t>:</w:t>
      </w:r>
      <w:r w:rsidRPr="00977549">
        <w:rPr>
          <w:lang w:val="de-DE"/>
        </w:rPr>
        <w:t xml:space="preserve"> </w:t>
      </w:r>
      <w:r w:rsidR="007B48D1" w:rsidRPr="00977549">
        <w:rPr>
          <w:lang w:val="de-DE"/>
        </w:rPr>
        <w:t>W</w:t>
      </w:r>
      <w:r w:rsidRPr="00977549">
        <w:rPr>
          <w:lang w:val="de-DE"/>
        </w:rPr>
        <w:t>enn die Marke nicht innerhalb von drei Jahren ab dem Datum der Veröffentlichung vollständig oder in Bezug auf einen Teil der im Zertifikat angegebenen Waren und Dienstleistungen in der Ukraine verwendet hat jede Person das Recht, bei Gericht die vorzeitige Beendigung der Gültigkeit des Zertifikats ganz oder teilweise zu beantragen.</w:t>
      </w:r>
    </w:p>
    <w:p w14:paraId="5B6B4AB7" w14:textId="77777777" w:rsidR="00D8066E" w:rsidRPr="00977549" w:rsidRDefault="00D8066E" w:rsidP="00103B10">
      <w:pPr>
        <w:jc w:val="both"/>
        <w:rPr>
          <w:lang w:val="de-DE"/>
        </w:rPr>
      </w:pPr>
      <w:r w:rsidRPr="00977549">
        <w:rPr>
          <w:lang w:val="de-DE"/>
        </w:rPr>
        <w:t>Im Sinne dieser Klausel gilt die Nutzung des Zeichens durch den Inhaber des Zertifikats auch als dessen Nutzung durch eine andere Person, die der Kontrolle durch den Inhaber des Zertifikats unterliegt (Teil 5, Artikel 18 dieses Gesetzes).</w:t>
      </w:r>
    </w:p>
    <w:p w14:paraId="3E1E24B9" w14:textId="2437F472" w:rsidR="00D8066E" w:rsidRPr="00977549" w:rsidRDefault="00D8066E" w:rsidP="00B31B3C">
      <w:pPr>
        <w:jc w:val="both"/>
        <w:rPr>
          <w:lang w:val="de-DE"/>
        </w:rPr>
      </w:pPr>
      <w:r w:rsidRPr="00977549">
        <w:rPr>
          <w:lang w:val="de-DE"/>
        </w:rPr>
        <w:t xml:space="preserve">Der Oberste Gerichtshof hat bereits in seinen Beschlüssen vom 17. Juli 2018 im Fall Nr. 910/14972/17, vom 26. Februar 2019 im Fall Nr. 910/6307/18 vom 4. Juli 2019 </w:t>
      </w:r>
      <w:r w:rsidR="007B48D1" w:rsidRPr="00977549">
        <w:rPr>
          <w:lang w:val="de-DE"/>
        </w:rPr>
        <w:t xml:space="preserve">und </w:t>
      </w:r>
      <w:r w:rsidRPr="00977549">
        <w:rPr>
          <w:lang w:val="de-DE"/>
        </w:rPr>
        <w:t xml:space="preserve">im Fall Nr. 910/6307/18 </w:t>
      </w:r>
      <w:r w:rsidR="007B48D1" w:rsidRPr="00977549">
        <w:rPr>
          <w:lang w:val="de-DE"/>
        </w:rPr>
        <w:t xml:space="preserve">Nr. 910/4947/18 </w:t>
      </w:r>
      <w:r w:rsidRPr="00977549">
        <w:rPr>
          <w:lang w:val="de-DE"/>
        </w:rPr>
        <w:t>über die Anwendung der Bestimmungen von Artikel 198 des Assoziierungsabkommens und Artikel 18 des Gesetzes zur Regelung identischer Rechtsbeziehungen</w:t>
      </w:r>
      <w:r w:rsidR="007B48D1" w:rsidRPr="00977549">
        <w:rPr>
          <w:lang w:val="de-DE"/>
        </w:rPr>
        <w:t xml:space="preserve"> eine Rechtsposition dargelegt</w:t>
      </w:r>
      <w:r w:rsidRPr="00977549">
        <w:rPr>
          <w:lang w:val="de-DE"/>
        </w:rPr>
        <w:t>.</w:t>
      </w:r>
    </w:p>
    <w:p w14:paraId="2573A9AC" w14:textId="40AB5C60" w:rsidR="00D8066E" w:rsidRPr="00977549" w:rsidRDefault="00D8066E" w:rsidP="00B31B3C">
      <w:pPr>
        <w:jc w:val="both"/>
        <w:rPr>
          <w:lang w:val="de-DE"/>
        </w:rPr>
      </w:pPr>
      <w:r w:rsidRPr="00977549">
        <w:rPr>
          <w:lang w:val="de-DE"/>
        </w:rPr>
        <w:t xml:space="preserve">Der Oberste Gerichtshof wies darauf hin, dass das Assoziierungsabkommen am 27. Juni 2014 unterzeichnet, von der Ukraine am 16. September 2014 ratifiziert und am 1. September 2017 in vollem Umfang in Kraft getreten sei. Gleichzeitig </w:t>
      </w:r>
      <w:r w:rsidR="007B48D1" w:rsidRPr="00977549">
        <w:rPr>
          <w:lang w:val="de-DE"/>
        </w:rPr>
        <w:t>werden</w:t>
      </w:r>
      <w:r w:rsidRPr="00977549">
        <w:rPr>
          <w:lang w:val="de-DE"/>
        </w:rPr>
        <w:t xml:space="preserve"> seit dem 1. November 2014 </w:t>
      </w:r>
      <w:r w:rsidR="007B48D1" w:rsidRPr="00977549">
        <w:rPr>
          <w:lang w:val="de-DE"/>
        </w:rPr>
        <w:t xml:space="preserve">die </w:t>
      </w:r>
      <w:r w:rsidRPr="00977549">
        <w:rPr>
          <w:lang w:val="de-DE"/>
        </w:rPr>
        <w:t xml:space="preserve">Abschnitte I, II, III, teilweise Abschnitt V, teilweise Abschnitt VII, Anhang XXVI, teilweise Anhang XXVII, Anhänge XXVIII – XXXI, teilweise Anhang XXXII, Anhänge XXXIII – XXXVI, XXXVIII – XLI XLIII und XLIV sowie </w:t>
      </w:r>
      <w:r w:rsidR="007B48D1" w:rsidRPr="00977549">
        <w:rPr>
          <w:lang w:val="de-DE"/>
        </w:rPr>
        <w:t xml:space="preserve">das </w:t>
      </w:r>
      <w:r w:rsidRPr="00977549">
        <w:rPr>
          <w:lang w:val="de-DE"/>
        </w:rPr>
        <w:t>Protokoll III vorübergehend angewendet</w:t>
      </w:r>
      <w:r w:rsidR="007B48D1" w:rsidRPr="00977549">
        <w:rPr>
          <w:lang w:val="de-DE"/>
        </w:rPr>
        <w:t>.</w:t>
      </w:r>
      <w:r w:rsidRPr="00977549">
        <w:rPr>
          <w:lang w:val="de-DE"/>
        </w:rPr>
        <w:t xml:space="preserve"> </w:t>
      </w:r>
      <w:r w:rsidR="007B48D1" w:rsidRPr="00977549">
        <w:rPr>
          <w:lang w:val="de-DE"/>
        </w:rPr>
        <w:t>A</w:t>
      </w:r>
      <w:r w:rsidRPr="00977549">
        <w:rPr>
          <w:lang w:val="de-DE"/>
        </w:rPr>
        <w:t>b dem 1. Januar 2016 wird Abschnitt IV vorübergehend angewendet.</w:t>
      </w:r>
    </w:p>
    <w:p w14:paraId="6140E481" w14:textId="657EB7B1" w:rsidR="004261AE" w:rsidRPr="00977549" w:rsidRDefault="004261AE" w:rsidP="00734BB6">
      <w:pPr>
        <w:jc w:val="both"/>
        <w:rPr>
          <w:lang w:val="de-DE"/>
        </w:rPr>
      </w:pPr>
      <w:r w:rsidRPr="00977549">
        <w:rPr>
          <w:lang w:val="de-DE"/>
        </w:rPr>
        <w:lastRenderedPageBreak/>
        <w:t>Artikel 198 des Assoziierungsabkommens ist in Unterabschnitt 2</w:t>
      </w:r>
      <w:r w:rsidR="00694D84" w:rsidRPr="00977549">
        <w:rPr>
          <w:lang w:val="de-DE"/>
        </w:rPr>
        <w:t>:</w:t>
      </w:r>
      <w:r w:rsidRPr="00977549">
        <w:rPr>
          <w:lang w:val="de-DE"/>
        </w:rPr>
        <w:t>„Marken“ von Teil 2</w:t>
      </w:r>
      <w:r w:rsidR="00694D84" w:rsidRPr="00977549">
        <w:rPr>
          <w:lang w:val="de-DE"/>
        </w:rPr>
        <w:t>:</w:t>
      </w:r>
      <w:r w:rsidRPr="00977549">
        <w:rPr>
          <w:lang w:val="de-DE"/>
        </w:rPr>
        <w:t xml:space="preserve"> „Standards in Bezug auf Rechte des geistigen Eigentums“</w:t>
      </w:r>
      <w:r w:rsidR="00694D84" w:rsidRPr="00977549">
        <w:rPr>
          <w:lang w:val="de-DE"/>
        </w:rPr>
        <w:t>,</w:t>
      </w:r>
      <w:r w:rsidRPr="00977549">
        <w:rPr>
          <w:lang w:val="de-DE"/>
        </w:rPr>
        <w:t xml:space="preserve"> von Kapitel 9</w:t>
      </w:r>
      <w:r w:rsidR="00694D84" w:rsidRPr="00977549">
        <w:rPr>
          <w:lang w:val="de-DE"/>
        </w:rPr>
        <w:t>:</w:t>
      </w:r>
      <w:r w:rsidRPr="00977549">
        <w:rPr>
          <w:lang w:val="de-DE"/>
        </w:rPr>
        <w:t xml:space="preserve"> „Geistiges Eigentum“ von Kapitel IV</w:t>
      </w:r>
      <w:r w:rsidR="00694D84" w:rsidRPr="00977549">
        <w:rPr>
          <w:lang w:val="de-DE"/>
        </w:rPr>
        <w:t>:</w:t>
      </w:r>
      <w:r w:rsidRPr="00977549">
        <w:rPr>
          <w:lang w:val="de-DE"/>
        </w:rPr>
        <w:t xml:space="preserve"> „Handel und handelsbezogene Fragen“ des genannten Abkommens</w:t>
      </w:r>
      <w:r w:rsidR="00694D84" w:rsidRPr="00977549">
        <w:rPr>
          <w:lang w:val="de-DE"/>
        </w:rPr>
        <w:t xml:space="preserve"> enthalten</w:t>
      </w:r>
      <w:r w:rsidRPr="00977549">
        <w:rPr>
          <w:lang w:val="de-DE"/>
        </w:rPr>
        <w:t>.</w:t>
      </w:r>
    </w:p>
    <w:p w14:paraId="118B0B79" w14:textId="41049709" w:rsidR="00D8066E" w:rsidRPr="00977549" w:rsidRDefault="004261AE" w:rsidP="007D3FA8">
      <w:pPr>
        <w:jc w:val="both"/>
        <w:rPr>
          <w:lang w:val="de-DE"/>
        </w:rPr>
      </w:pPr>
      <w:r w:rsidRPr="00977549">
        <w:rPr>
          <w:lang w:val="de-DE"/>
        </w:rPr>
        <w:t>Der Obe</w:t>
      </w:r>
      <w:r w:rsidR="00B13E9D">
        <w:rPr>
          <w:lang w:val="de-DE"/>
        </w:rPr>
        <w:t>rste Gerichtshof vertrat in dem Fall</w:t>
      </w:r>
      <w:r w:rsidRPr="00977549">
        <w:rPr>
          <w:lang w:val="de-DE"/>
        </w:rPr>
        <w:t xml:space="preserve"> Nr. 910/8180/</w:t>
      </w:r>
      <w:r w:rsidRPr="00B13E9D">
        <w:rPr>
          <w:lang w:val="de-DE"/>
        </w:rPr>
        <w:t xml:space="preserve">17 </w:t>
      </w:r>
      <w:r w:rsidR="007D011A" w:rsidRPr="00B13E9D">
        <w:rPr>
          <w:lang w:val="de-DE"/>
        </w:rPr>
        <w:t xml:space="preserve">vom Mai </w:t>
      </w:r>
      <w:r w:rsidR="00B13E9D" w:rsidRPr="00B13E9D">
        <w:rPr>
          <w:lang w:val="de-DE"/>
        </w:rPr>
        <w:t xml:space="preserve">29. </w:t>
      </w:r>
      <w:r w:rsidR="007D011A" w:rsidRPr="00B13E9D">
        <w:rPr>
          <w:lang w:val="de-DE"/>
        </w:rPr>
        <w:t xml:space="preserve">2019 </w:t>
      </w:r>
      <w:r w:rsidRPr="00977549">
        <w:rPr>
          <w:lang w:val="de-DE"/>
        </w:rPr>
        <w:t>die gleiche Position hinsichtlich der Anwendung des Assoziierungsabkommens im Zusammenhang mit Rechten des geistigen Eigentums.</w:t>
      </w:r>
    </w:p>
    <w:p w14:paraId="1E43D5EF" w14:textId="26459E05" w:rsidR="004261AE" w:rsidRPr="00977549" w:rsidRDefault="004261AE" w:rsidP="007D3FA8">
      <w:pPr>
        <w:jc w:val="both"/>
        <w:rPr>
          <w:lang w:val="de-DE"/>
        </w:rPr>
      </w:pPr>
      <w:r w:rsidRPr="00977549">
        <w:rPr>
          <w:lang w:val="de-DE"/>
        </w:rPr>
        <w:t>In den oben genannten Entscheidungen wies der Oberste Gerichtshof auch darauf hin, dass unter Berücksichtigung der Bestimmungen von Artikel 198 des Assoziierungsabkommens die Gültigkeit des Zertifikats der Ukraine (internationale Registrierung der Marke) vorzeitig beendet werden kann</w:t>
      </w:r>
      <w:r w:rsidR="00D274FD" w:rsidRPr="00977549">
        <w:rPr>
          <w:lang w:val="de-DE"/>
        </w:rPr>
        <w:t>, w</w:t>
      </w:r>
      <w:r w:rsidRPr="00977549">
        <w:rPr>
          <w:lang w:val="de-DE"/>
        </w:rPr>
        <w:t>enn die Marke für Waren und Dienstleistungen gilt</w:t>
      </w:r>
      <w:r w:rsidR="005C44C6" w:rsidRPr="00977549">
        <w:rPr>
          <w:lang w:val="de-DE"/>
        </w:rPr>
        <w:t>, die</w:t>
      </w:r>
      <w:r w:rsidRPr="00977549">
        <w:rPr>
          <w:lang w:val="de-DE"/>
        </w:rPr>
        <w:t xml:space="preserve"> nicht innerhalb von fünf Jahren ab dem Datum der Veröffentlichung des Zertifikats (internationale Registrierung) oder ab einem anderen Datum kontinuierlich für einen Teil oder alle im Register eingetragenen Waren und/oder Dienstleistungen verwendet wird.</w:t>
      </w:r>
    </w:p>
    <w:p w14:paraId="2B72F569" w14:textId="6EFA5000" w:rsidR="004261AE" w:rsidRPr="00977549" w:rsidRDefault="004261AE" w:rsidP="007137D6">
      <w:pPr>
        <w:jc w:val="both"/>
        <w:rPr>
          <w:lang w:val="de-DE"/>
        </w:rPr>
      </w:pPr>
      <w:r w:rsidRPr="00977549">
        <w:rPr>
          <w:lang w:val="de-DE"/>
        </w:rPr>
        <w:t xml:space="preserve">Eine ähnliche Rechtsposition des Obersten Gerichtshofs ist in den Urteilen des Obersten Gerichtshofs im Fall Nr. 757/34959/18 </w:t>
      </w:r>
      <w:r w:rsidR="005C44C6" w:rsidRPr="00977549">
        <w:rPr>
          <w:lang w:val="de-DE"/>
        </w:rPr>
        <w:t xml:space="preserve">vom 9. Juni 2021 </w:t>
      </w:r>
      <w:r w:rsidRPr="00977549">
        <w:rPr>
          <w:lang w:val="de-DE"/>
        </w:rPr>
        <w:t xml:space="preserve">im Fall Nr. 760/12081/17 </w:t>
      </w:r>
      <w:r w:rsidR="005C44C6" w:rsidRPr="00977549">
        <w:rPr>
          <w:lang w:val="de-DE"/>
        </w:rPr>
        <w:t xml:space="preserve">vom 24. Februar 2020 </w:t>
      </w:r>
      <w:r w:rsidRPr="00977549">
        <w:rPr>
          <w:lang w:val="de-DE"/>
        </w:rPr>
        <w:t xml:space="preserve">im Fall Nr. 761/18983/ 18 </w:t>
      </w:r>
      <w:r w:rsidR="005C44C6" w:rsidRPr="00977549">
        <w:rPr>
          <w:lang w:val="de-DE"/>
        </w:rPr>
        <w:t xml:space="preserve">vom 19. Januar 2021 und </w:t>
      </w:r>
      <w:r w:rsidRPr="00977549">
        <w:rPr>
          <w:lang w:val="de-DE"/>
        </w:rPr>
        <w:t>im Fall Nr. 910/5794/20</w:t>
      </w:r>
      <w:r w:rsidR="005C44C6" w:rsidRPr="00977549">
        <w:rPr>
          <w:lang w:val="de-DE"/>
        </w:rPr>
        <w:t xml:space="preserve"> vom 29. April 2021 dargelegt</w:t>
      </w:r>
    </w:p>
    <w:p w14:paraId="743D90D6" w14:textId="262B7F77" w:rsidR="004261AE" w:rsidRPr="00977549" w:rsidRDefault="004261AE" w:rsidP="007137D6">
      <w:pPr>
        <w:jc w:val="both"/>
        <w:rPr>
          <w:lang w:val="de-DE"/>
        </w:rPr>
      </w:pPr>
      <w:r w:rsidRPr="00977549">
        <w:rPr>
          <w:lang w:val="de-DE"/>
        </w:rPr>
        <w:t xml:space="preserve">Im Beschluss vom 3. Oktober 2022 in der Rechtssache Nr. 760/6362/17 bewertete der Oberste Gerichtshof auch die Argumente der Kassationsbeschwerde zu den fehlerhaften Schlussfolgerungen des Berufungsgerichts zur Anwendung von Artikel 198 des Assoziierungsabkommens , das am 1. September 2017 in Kraft trat, und wies darauf hin, dass dies von der Jury nicht berücksichtigt werden kann, da gemäß Artikel 3 des Gesetzes der Ukraine „Über internationale Verträge der Ukraine“ ein internationaler Vertrag der Ukraine festgelegt </w:t>
      </w:r>
      <w:r w:rsidRPr="00B13E9D">
        <w:rPr>
          <w:lang w:val="de-DE"/>
        </w:rPr>
        <w:t>wird</w:t>
      </w:r>
      <w:r w:rsidR="00B339F9" w:rsidRPr="00B13E9D">
        <w:rPr>
          <w:lang w:val="de-DE"/>
        </w:rPr>
        <w:t>.</w:t>
      </w:r>
      <w:r w:rsidR="00B13E9D" w:rsidRPr="00B13E9D">
        <w:rPr>
          <w:lang w:val="de-DE"/>
        </w:rPr>
        <w:t xml:space="preserve"> </w:t>
      </w:r>
      <w:r w:rsidRPr="00B13E9D">
        <w:rPr>
          <w:lang w:val="de-DE"/>
        </w:rPr>
        <w:t xml:space="preserve">Sollten </w:t>
      </w:r>
      <w:r w:rsidRPr="00977549">
        <w:rPr>
          <w:lang w:val="de-DE"/>
        </w:rPr>
        <w:t xml:space="preserve">andere Regeln gelten als die in der ukrainischen Gesetzgebung für </w:t>
      </w:r>
      <w:r w:rsidR="00D274FD" w:rsidRPr="00977549">
        <w:rPr>
          <w:lang w:val="de-DE"/>
        </w:rPr>
        <w:t>Markenzeichen</w:t>
      </w:r>
      <w:r w:rsidRPr="00977549">
        <w:rPr>
          <w:lang w:val="de-DE"/>
        </w:rPr>
        <w:t xml:space="preserve"> vorgesehenen, so gelten die Regeln des internationalen Vertrags. Außerdem wies das Berufungsgericht darauf hin, dass das Assoziierungsabkommen Vorrang vor dem nationalen Recht habe.</w:t>
      </w:r>
      <w:r w:rsidR="00743D4D" w:rsidRPr="00977549">
        <w:rPr>
          <w:lang w:val="de-DE"/>
        </w:rPr>
        <w:t xml:space="preserve"> </w:t>
      </w:r>
    </w:p>
    <w:p w14:paraId="78EA5DD2" w14:textId="77777777" w:rsidR="004261AE" w:rsidRPr="00977549" w:rsidRDefault="00B339F9" w:rsidP="0069747D">
      <w:pPr>
        <w:jc w:val="both"/>
        <w:rPr>
          <w:lang w:val="de-DE"/>
        </w:rPr>
      </w:pPr>
      <w:r w:rsidRPr="00977549">
        <w:rPr>
          <w:lang w:val="de-DE"/>
        </w:rPr>
        <w:t>Aus den gegebenen Umständen des Falles geht hervor, dass die umstrittene Waren- und Dienstleistungsmarke Nr. 176574 am 25. September 2013 vom Staatlichen Dienst für geistiges Eigentum der Ukraine registriert wurde.</w:t>
      </w:r>
    </w:p>
    <w:p w14:paraId="1FECD89D" w14:textId="77777777" w:rsidR="00D274FD" w:rsidRPr="0069747D" w:rsidRDefault="00B339F9" w:rsidP="00824F59">
      <w:pPr>
        <w:jc w:val="both"/>
        <w:rPr>
          <w:color w:val="FF0000"/>
          <w:lang w:val="de-DE"/>
        </w:rPr>
      </w:pPr>
      <w:r w:rsidRPr="00977549">
        <w:rPr>
          <w:lang w:val="de-DE"/>
        </w:rPr>
        <w:t>Dementsprechend ist die im Gesetz der Ukraine „Über den Schutz der Rechte an Marken für Waren und Dienstleistungen“ festgelegte dreijährige Frist am 25. September 2016 abgelaufen</w:t>
      </w:r>
      <w:r w:rsidR="00086A97" w:rsidRPr="00977549">
        <w:rPr>
          <w:lang w:val="de-DE"/>
        </w:rPr>
        <w:t>.</w:t>
      </w:r>
      <w:r w:rsidRPr="00977549">
        <w:rPr>
          <w:lang w:val="de-DE"/>
        </w:rPr>
        <w:t xml:space="preserve"> </w:t>
      </w:r>
      <w:r w:rsidR="00086A97" w:rsidRPr="00977549">
        <w:rPr>
          <w:lang w:val="de-DE"/>
        </w:rPr>
        <w:t>D</w:t>
      </w:r>
      <w:r w:rsidRPr="00977549">
        <w:rPr>
          <w:lang w:val="de-DE"/>
        </w:rPr>
        <w:t xml:space="preserve">er Ablauf der festgelegten Frist führt jedoch nicht zum Erlöschen der Gültigkeit des </w:t>
      </w:r>
      <w:r w:rsidR="00D274FD" w:rsidRPr="00977549">
        <w:rPr>
          <w:lang w:val="de-DE"/>
        </w:rPr>
        <w:t>Zertifikats.</w:t>
      </w:r>
      <w:r w:rsidRPr="00977549">
        <w:rPr>
          <w:lang w:val="de-DE"/>
        </w:rPr>
        <w:t xml:space="preserve"> </w:t>
      </w:r>
      <w:r w:rsidR="00D274FD" w:rsidRPr="00977549">
        <w:rPr>
          <w:lang w:val="de-DE"/>
        </w:rPr>
        <w:t>D</w:t>
      </w:r>
      <w:r w:rsidRPr="00977549">
        <w:rPr>
          <w:lang w:val="de-DE"/>
        </w:rPr>
        <w:t xml:space="preserve">as Zertifikat definiert seine Gültigkeit bis zum 17. </w:t>
      </w:r>
      <w:r w:rsidRPr="00B13E9D">
        <w:rPr>
          <w:lang w:val="de-DE"/>
        </w:rPr>
        <w:t xml:space="preserve">Januar 2023 </w:t>
      </w:r>
    </w:p>
    <w:p w14:paraId="521E39B3" w14:textId="1828B6BE" w:rsidR="00B339F9" w:rsidRPr="00977549" w:rsidRDefault="00D274FD" w:rsidP="00824F59">
      <w:pPr>
        <w:jc w:val="both"/>
        <w:rPr>
          <w:lang w:val="de-DE"/>
        </w:rPr>
      </w:pPr>
      <w:r w:rsidRPr="00977549">
        <w:rPr>
          <w:lang w:val="de-DE"/>
        </w:rPr>
        <w:t>G</w:t>
      </w:r>
      <w:r w:rsidR="00B339F9" w:rsidRPr="00977549">
        <w:rPr>
          <w:lang w:val="de-DE"/>
        </w:rPr>
        <w:t xml:space="preserve">emäß den Bestimmungen des </w:t>
      </w:r>
      <w:r w:rsidR="00FB74FE" w:rsidRPr="00977549">
        <w:rPr>
          <w:lang w:val="de-DE"/>
        </w:rPr>
        <w:t>Artikels 18 dieses Gesetzes</w:t>
      </w:r>
      <w:r w:rsidR="00086A97" w:rsidRPr="00977549">
        <w:rPr>
          <w:lang w:val="de-DE"/>
        </w:rPr>
        <w:t>.</w:t>
      </w:r>
      <w:r w:rsidR="00B339F9" w:rsidRPr="00977549">
        <w:rPr>
          <w:lang w:val="de-DE"/>
        </w:rPr>
        <w:t xml:space="preserve"> </w:t>
      </w:r>
      <w:r w:rsidRPr="00977549">
        <w:rPr>
          <w:lang w:val="de-DE"/>
        </w:rPr>
        <w:t xml:space="preserve">Kann </w:t>
      </w:r>
      <w:r w:rsidR="00B339F9" w:rsidRPr="00977549">
        <w:rPr>
          <w:lang w:val="de-DE"/>
        </w:rPr>
        <w:t xml:space="preserve">die Gültigkeit der Bescheinigung durch eine gerichtliche Berufung, d. h. durch eine gerichtliche Entscheidung, vorzeitig beendet </w:t>
      </w:r>
      <w:r w:rsidR="00FB74FE" w:rsidRPr="00977549">
        <w:rPr>
          <w:lang w:val="de-DE"/>
        </w:rPr>
        <w:t>w</w:t>
      </w:r>
      <w:r w:rsidRPr="00977549">
        <w:rPr>
          <w:lang w:val="de-DE"/>
        </w:rPr>
        <w:t>e</w:t>
      </w:r>
      <w:r w:rsidR="00FB74FE" w:rsidRPr="00977549">
        <w:rPr>
          <w:lang w:val="de-DE"/>
        </w:rPr>
        <w:t>rden kann</w:t>
      </w:r>
      <w:r w:rsidR="00B339F9" w:rsidRPr="00977549">
        <w:rPr>
          <w:lang w:val="de-DE"/>
        </w:rPr>
        <w:t>.</w:t>
      </w:r>
    </w:p>
    <w:p w14:paraId="6C985DF8" w14:textId="77777777" w:rsidR="00FB74FE" w:rsidRPr="00977549" w:rsidRDefault="00FB74FE" w:rsidP="00824F59">
      <w:pPr>
        <w:jc w:val="both"/>
        <w:rPr>
          <w:lang w:val="de-DE"/>
        </w:rPr>
      </w:pPr>
      <w:r w:rsidRPr="00977549">
        <w:rPr>
          <w:lang w:val="de-DE"/>
        </w:rPr>
        <w:t>Diese Klage wurde laut Stempel der eingehenden Korrespondenz des Gerichts am 9. Juni 2017 beim Gericht eingereicht.</w:t>
      </w:r>
    </w:p>
    <w:p w14:paraId="2C59DA0C" w14:textId="77777777" w:rsidR="00FB74FE" w:rsidRPr="00977549" w:rsidRDefault="00FB74FE" w:rsidP="005810A9">
      <w:pPr>
        <w:jc w:val="both"/>
        <w:rPr>
          <w:lang w:val="de-DE"/>
        </w:rPr>
      </w:pPr>
      <w:r w:rsidRPr="00977549">
        <w:rPr>
          <w:lang w:val="de-DE"/>
        </w:rPr>
        <w:t>Wie oben bereits erwähnt, gelten ab dem 1. Januar 2016 die Bestimmungen des Kapitels 9 „Geistiges Eigentum“ des Kapitels IV „Handel und Handelsfragen“ des Assoziierungsabkommens zwischen der Ukraine und der Europäischen Union.</w:t>
      </w:r>
    </w:p>
    <w:p w14:paraId="0E0EC804" w14:textId="55E19987" w:rsidR="00FB74FE" w:rsidRPr="00977549" w:rsidRDefault="00FB74FE" w:rsidP="00C15D74">
      <w:pPr>
        <w:jc w:val="both"/>
        <w:rPr>
          <w:lang w:val="de-DE"/>
        </w:rPr>
      </w:pPr>
      <w:r w:rsidRPr="00977549">
        <w:rPr>
          <w:lang w:val="de-DE"/>
        </w:rPr>
        <w:t>Daher sind die Bestimmungen des Artikels 198 des Assoziierungsabkommens in den Rechtsbeziehungen zwischen den Parteien anzuwenden</w:t>
      </w:r>
      <w:r w:rsidR="00086A97" w:rsidRPr="00977549">
        <w:rPr>
          <w:lang w:val="de-DE"/>
        </w:rPr>
        <w:t>.</w:t>
      </w:r>
      <w:r w:rsidRPr="00977549">
        <w:rPr>
          <w:lang w:val="de-DE"/>
        </w:rPr>
        <w:t xml:space="preserve"> </w:t>
      </w:r>
      <w:r w:rsidR="00086A97" w:rsidRPr="00977549">
        <w:rPr>
          <w:lang w:val="de-DE"/>
        </w:rPr>
        <w:t>D</w:t>
      </w:r>
      <w:r w:rsidRPr="00977549">
        <w:rPr>
          <w:lang w:val="de-DE"/>
        </w:rPr>
        <w:t xml:space="preserve">ie Gültigkeit umstrittener Zertifikate der Ukraine kann </w:t>
      </w:r>
      <w:r w:rsidR="00086A97" w:rsidRPr="00977549">
        <w:rPr>
          <w:lang w:val="de-DE"/>
        </w:rPr>
        <w:t xml:space="preserve">nicht </w:t>
      </w:r>
      <w:r w:rsidRPr="00977549">
        <w:rPr>
          <w:lang w:val="de-DE"/>
        </w:rPr>
        <w:lastRenderedPageBreak/>
        <w:t xml:space="preserve">vorzeitig </w:t>
      </w:r>
      <w:r w:rsidR="00086A97" w:rsidRPr="00977549">
        <w:rPr>
          <w:lang w:val="de-DE"/>
        </w:rPr>
        <w:t xml:space="preserve">vor dem Ablauf von fünf Jahren </w:t>
      </w:r>
      <w:r w:rsidRPr="00977549">
        <w:rPr>
          <w:lang w:val="de-DE"/>
        </w:rPr>
        <w:t xml:space="preserve">beendet werden, wenn die Marke für Waren und Dienstleistungen teilweise </w:t>
      </w:r>
      <w:r w:rsidR="00086A97" w:rsidRPr="00977549">
        <w:rPr>
          <w:lang w:val="de-DE"/>
        </w:rPr>
        <w:t xml:space="preserve">oder gar </w:t>
      </w:r>
      <w:r w:rsidRPr="00977549">
        <w:rPr>
          <w:lang w:val="de-DE"/>
        </w:rPr>
        <w:t>nicht kontinuierlich verwendet wird. Das heißt, das Ende der Fünfjahresfrist für die angefochtenen Zertifikate fällt auf den 12. März 2018, da der Beginn der Frist ab dem Tag nach ihrer Eintragung gerechnet wird.</w:t>
      </w:r>
    </w:p>
    <w:p w14:paraId="681C0A22" w14:textId="77777777" w:rsidR="00FB74FE" w:rsidRPr="00977549" w:rsidRDefault="00DA3FEE" w:rsidP="00C15D74">
      <w:pPr>
        <w:jc w:val="both"/>
        <w:rPr>
          <w:lang w:val="de-DE"/>
        </w:rPr>
      </w:pPr>
      <w:r w:rsidRPr="00977549">
        <w:rPr>
          <w:lang w:val="de-DE"/>
        </w:rPr>
        <w:t>Somit sind zum Zeitpunkt der Klageeinreichung des Klägers und die von ihm vorgelegten Beweise mit Stand Juni 2017 nicht geeignet, darauf hinzuweisen, dass die Marke innerhalb von fünf Jahren ab dem Datum der Eintragung nicht benutzt wurde.</w:t>
      </w:r>
    </w:p>
    <w:p w14:paraId="16BD9B89" w14:textId="4ACBB007" w:rsidR="00DA3FEE" w:rsidRPr="00977549" w:rsidRDefault="00DA3FEE" w:rsidP="00A34A5C">
      <w:pPr>
        <w:jc w:val="both"/>
        <w:rPr>
          <w:lang w:val="de-DE"/>
        </w:rPr>
      </w:pPr>
      <w:r w:rsidRPr="00977549">
        <w:rPr>
          <w:lang w:val="de-DE"/>
        </w:rPr>
        <w:t>Nach den Normen des Zivilprozessrechts hat eine Person das Recht, beim Gericht den Schutz verletzter, nicht anerkannter oder umstrittener Rechte, Freiheiten oder Interessen anzurufen. Gleichzeitig muss das Gericht feststellen, ob die Rechte, Freiheiten oder Interessen dieser Person verletzt, nicht anerkannt oder bestritten wurden, und je nach Feststellung über die Befriedigung der Ansprüche oder die Verweigerung der Befriedigung entscheiden</w:t>
      </w:r>
      <w:r w:rsidR="00086A97" w:rsidRPr="00977549">
        <w:rPr>
          <w:lang w:val="de-DE"/>
        </w:rPr>
        <w:t>.</w:t>
      </w:r>
    </w:p>
    <w:p w14:paraId="0304A0CD" w14:textId="77777777" w:rsidR="00DA3FEE" w:rsidRPr="00977549" w:rsidRDefault="00DA3FEE" w:rsidP="007737AD">
      <w:pPr>
        <w:jc w:val="both"/>
        <w:rPr>
          <w:lang w:val="de-DE"/>
        </w:rPr>
      </w:pPr>
      <w:r w:rsidRPr="00977549">
        <w:rPr>
          <w:lang w:val="de-DE"/>
        </w:rPr>
        <w:t>Der materielle und rechtliche Aspekt des Schutzes bürgerlicher Rechte und Interessen besteht in erster Linie darin, herauszufinden, ob eine Person über ein solches Recht oder Interesse verfügt und ob diese verletzt wurden oder ob ihre rechtliche Definition erforderlich war.</w:t>
      </w:r>
    </w:p>
    <w:p w14:paraId="63999DA1" w14:textId="4444A169" w:rsidR="00DA3FEE" w:rsidRPr="00977549" w:rsidRDefault="00DA3FEE" w:rsidP="007737AD">
      <w:pPr>
        <w:jc w:val="both"/>
        <w:rPr>
          <w:lang w:val="de-DE"/>
        </w:rPr>
      </w:pPr>
      <w:r w:rsidRPr="00977549">
        <w:rPr>
          <w:lang w:val="de-DE"/>
        </w:rPr>
        <w:t>In Anbetracht der vorstehenden gesetzlichen Vorgaben und unter Berücksichtigung der festgestellten Umstände des Falles kommt die Jury zu dem Schluss, dass die Bestimmungen des Art. 198 des Assoziierungsabkommens die für die Klageerhebung zwingende fünfjährige Nichtbenutzungsfrist der Marke nicht abgelaufen ist und eine solche Nichtbenutzung zum Zeitpunkt der mündlichen Verhandlung nicht nachgewiesen wurde</w:t>
      </w:r>
      <w:r w:rsidR="00086A97" w:rsidRPr="00977549">
        <w:rPr>
          <w:lang w:val="de-DE"/>
        </w:rPr>
        <w:t>.</w:t>
      </w:r>
      <w:r w:rsidRPr="00977549">
        <w:rPr>
          <w:lang w:val="de-DE"/>
        </w:rPr>
        <w:t xml:space="preserve"> </w:t>
      </w:r>
      <w:proofErr w:type="spellStart"/>
      <w:r w:rsidR="00086A97" w:rsidRPr="00977549">
        <w:rPr>
          <w:lang w:val="de-DE"/>
        </w:rPr>
        <w:t>Damist</w:t>
      </w:r>
      <w:proofErr w:type="spellEnd"/>
      <w:r w:rsidR="00086A97" w:rsidRPr="00977549">
        <w:rPr>
          <w:lang w:val="de-DE"/>
        </w:rPr>
        <w:t xml:space="preserve"> ist</w:t>
      </w:r>
      <w:r w:rsidRPr="00977549">
        <w:rPr>
          <w:lang w:val="de-DE"/>
        </w:rPr>
        <w:t xml:space="preserve"> dies kein Grund zur Befriedigung der genannten Ansprüche.</w:t>
      </w:r>
    </w:p>
    <w:p w14:paraId="17411C6F" w14:textId="77777777" w:rsidR="00DA3FEE" w:rsidRPr="00977549" w:rsidRDefault="00CF7784" w:rsidP="007737AD">
      <w:pPr>
        <w:jc w:val="both"/>
        <w:rPr>
          <w:lang w:val="de-DE"/>
        </w:rPr>
      </w:pPr>
      <w:r w:rsidRPr="00977549">
        <w:rPr>
          <w:lang w:val="de-DE"/>
        </w:rPr>
        <w:t>Das Vorstehende wurde vom erstinstanzlichen Gericht nicht berücksichtigt, weshalb eine unvollständige Klärung des Sachverhalts vorliegt, ein begründeter Verstoß des erstinstanzlichen Gerichts gegen die Normen des materiellen und verfahrensrechtlichen Rechts zur Aufhebung der Entscheidung des erstinstanzlichen Gerichts und zur Annahme einer neuen Entscheidung durch das Berufungsgericht.</w:t>
      </w:r>
    </w:p>
    <w:p w14:paraId="37EC8ADE" w14:textId="35C162CB" w:rsidR="00CF7784" w:rsidRPr="00977549" w:rsidRDefault="00CF7784" w:rsidP="007E7666">
      <w:pPr>
        <w:jc w:val="both"/>
        <w:rPr>
          <w:lang w:val="de-DE"/>
        </w:rPr>
      </w:pPr>
      <w:r w:rsidRPr="00977549">
        <w:rPr>
          <w:lang w:val="de-DE"/>
        </w:rPr>
        <w:t>Auf der Grundlage von Art. 141 der Zivilprozessordnung der Ukraine unterliegt die Frage der Entschädigung für Gerichtskosten ebenfalls einer Revision, unter Berücksichtigung des Grundsatzes der Verhältnismäßigkeit zwischen erfüllten Ansprüchen und Berufungsansprüchen, wobei bei der Einlegung einer Berufung 4.800,00 UAH an Gerichtskosten anfallen</w:t>
      </w:r>
      <w:r w:rsidR="008729A1" w:rsidRPr="00977549">
        <w:rPr>
          <w:lang w:val="de-DE"/>
        </w:rPr>
        <w:t>.</w:t>
      </w:r>
      <w:r w:rsidRPr="00977549">
        <w:rPr>
          <w:lang w:val="de-DE"/>
        </w:rPr>
        <w:t xml:space="preserve"> Rückforderung vom Beklagten zugunsten des Klägers </w:t>
      </w:r>
      <w:r w:rsidR="00B13E9D" w:rsidRPr="00B13E9D">
        <w:rPr>
          <w:lang w:val="de-DE"/>
        </w:rPr>
        <w:t>/ Bd. 2 S</w:t>
      </w:r>
      <w:r w:rsidRPr="00B13E9D">
        <w:rPr>
          <w:lang w:val="de-DE"/>
        </w:rPr>
        <w:t>. 201</w:t>
      </w:r>
    </w:p>
    <w:p w14:paraId="08983780" w14:textId="77777777" w:rsidR="00CF7784" w:rsidRPr="00977549" w:rsidRDefault="00CF7784" w:rsidP="00430D3A">
      <w:pPr>
        <w:rPr>
          <w:lang w:val="de-DE"/>
        </w:rPr>
      </w:pPr>
      <w:r w:rsidRPr="00977549">
        <w:rPr>
          <w:lang w:val="de-DE"/>
        </w:rPr>
        <w:t>Geleitet von Art.  367, 374, 376, 381-384 des Bürgerlichen Gesetzbuches der Ukraine, hat sich das Berufungsgericht</w:t>
      </w:r>
    </w:p>
    <w:p w14:paraId="5295DC9A" w14:textId="77777777" w:rsidR="00CF7784" w:rsidRPr="005755AF" w:rsidRDefault="00CF7784" w:rsidP="00CF7784">
      <w:pPr>
        <w:rPr>
          <w:b/>
          <w:lang w:val="de-DE"/>
        </w:rPr>
      </w:pPr>
      <w:r w:rsidRPr="005755AF">
        <w:rPr>
          <w:b/>
          <w:lang w:val="de-DE"/>
        </w:rPr>
        <w:t>ENTSCHIEDEN</w:t>
      </w:r>
    </w:p>
    <w:p w14:paraId="5A3CD523" w14:textId="6CDEE58A" w:rsidR="00CF7784" w:rsidRPr="00977549" w:rsidRDefault="00CF7784" w:rsidP="00CF7784">
      <w:pPr>
        <w:rPr>
          <w:lang w:val="de-DE"/>
        </w:rPr>
      </w:pPr>
      <w:r w:rsidRPr="00977549">
        <w:rPr>
          <w:lang w:val="de-DE"/>
        </w:rPr>
        <w:t xml:space="preserve">Die Berufung </w:t>
      </w:r>
      <w:r w:rsidRPr="00B13E9D">
        <w:rPr>
          <w:lang w:val="de-DE"/>
        </w:rPr>
        <w:t xml:space="preserve">von </w:t>
      </w:r>
      <w:r w:rsidR="00430D3A" w:rsidRPr="00B13E9D">
        <w:rPr>
          <w:lang w:val="uk-UA"/>
        </w:rPr>
        <w:t xml:space="preserve"> </w:t>
      </w:r>
      <w:r w:rsidR="00521BA2" w:rsidRPr="00B13E9D">
        <w:rPr>
          <w:lang w:val="de-DE"/>
        </w:rPr>
        <w:t>Gerriet Harms</w:t>
      </w:r>
      <w:r w:rsidR="00430D3A" w:rsidRPr="00B13E9D">
        <w:rPr>
          <w:lang w:val="uk-UA"/>
        </w:rPr>
        <w:t xml:space="preserve"> </w:t>
      </w:r>
      <w:r w:rsidRPr="00977549">
        <w:rPr>
          <w:lang w:val="de-DE"/>
        </w:rPr>
        <w:t>zufriedenzustellen.</w:t>
      </w:r>
    </w:p>
    <w:p w14:paraId="6AC98DB5" w14:textId="77777777" w:rsidR="00CF7784" w:rsidRPr="00977549" w:rsidRDefault="00CF7784" w:rsidP="00CF7784">
      <w:pPr>
        <w:rPr>
          <w:lang w:val="de-DE"/>
        </w:rPr>
      </w:pPr>
      <w:r w:rsidRPr="00977549">
        <w:rPr>
          <w:lang w:val="de-DE"/>
        </w:rPr>
        <w:t xml:space="preserve">Die Entscheidung des Bezirksgerichts </w:t>
      </w:r>
      <w:proofErr w:type="spellStart"/>
      <w:r w:rsidRPr="00977549">
        <w:rPr>
          <w:lang w:val="de-DE"/>
        </w:rPr>
        <w:t>Petschersk</w:t>
      </w:r>
      <w:proofErr w:type="spellEnd"/>
      <w:r w:rsidRPr="00977549">
        <w:rPr>
          <w:lang w:val="de-DE"/>
        </w:rPr>
        <w:t xml:space="preserve"> in Kiew vom 24. November 2020 wird aufgehoben und eine neue Gerichtsentscheidung getroffen.</w:t>
      </w:r>
    </w:p>
    <w:p w14:paraId="514E4B78" w14:textId="3F47D24B" w:rsidR="00CF7784" w:rsidRPr="00D23961" w:rsidRDefault="00AA78F2" w:rsidP="006F45A4">
      <w:pPr>
        <w:jc w:val="both"/>
        <w:rPr>
          <w:lang w:val="de-DE"/>
        </w:rPr>
      </w:pPr>
      <w:r w:rsidRPr="00977549">
        <w:rPr>
          <w:lang w:val="de-DE"/>
        </w:rPr>
        <w:t>Die Ansprüche des Forest Stewardship Coun</w:t>
      </w:r>
      <w:r w:rsidRPr="00D23961">
        <w:rPr>
          <w:lang w:val="de-DE"/>
        </w:rPr>
        <w:t xml:space="preserve">cil gegen </w:t>
      </w:r>
      <w:r w:rsidR="00521BA2" w:rsidRPr="00D23961">
        <w:rPr>
          <w:lang w:val="de-DE"/>
        </w:rPr>
        <w:t>Gerriet Harms</w:t>
      </w:r>
      <w:r w:rsidRPr="00D23961">
        <w:rPr>
          <w:lang w:val="de-DE"/>
        </w:rPr>
        <w:t xml:space="preserve">, das Ministerium für wirtschaftliche Entwicklung und Handel der Ukraine, dessen Rechtsnachfolger die staatliche Organisation „Ukrainisches Nationalamt für geistiges Eigentum und Innovationen“ ist, wegen vorzeitiger Beendigung des Zertifikats und der Verpflichtung, Maßnahmen zu </w:t>
      </w:r>
      <w:r w:rsidR="008729A1" w:rsidRPr="00D23961">
        <w:rPr>
          <w:lang w:val="de-DE"/>
        </w:rPr>
        <w:t>ergreifen,</w:t>
      </w:r>
      <w:r w:rsidRPr="00D23961">
        <w:rPr>
          <w:lang w:val="de-DE"/>
        </w:rPr>
        <w:t xml:space="preserve"> werden </w:t>
      </w:r>
      <w:r w:rsidR="008729A1" w:rsidRPr="00D23961">
        <w:rPr>
          <w:lang w:val="de-DE"/>
        </w:rPr>
        <w:t>abgewiesen</w:t>
      </w:r>
      <w:r w:rsidRPr="00D23961">
        <w:rPr>
          <w:lang w:val="de-DE"/>
        </w:rPr>
        <w:t>.</w:t>
      </w:r>
    </w:p>
    <w:p w14:paraId="43B21808" w14:textId="3D895C59" w:rsidR="00AA78F2" w:rsidRPr="00D23961" w:rsidRDefault="00AA78F2" w:rsidP="006F45A4">
      <w:pPr>
        <w:jc w:val="both"/>
        <w:rPr>
          <w:lang w:val="de-DE"/>
        </w:rPr>
      </w:pPr>
      <w:r w:rsidRPr="00D23961">
        <w:rPr>
          <w:lang w:val="de-DE"/>
        </w:rPr>
        <w:lastRenderedPageBreak/>
        <w:t xml:space="preserve">Vom Forest Stewardship Council zugunsten von </w:t>
      </w:r>
      <w:r w:rsidR="00521BA2" w:rsidRPr="00D23961">
        <w:rPr>
          <w:lang w:val="de-DE"/>
        </w:rPr>
        <w:t>Gerriet Harms</w:t>
      </w:r>
      <w:r w:rsidR="00C90101" w:rsidRPr="00D23961">
        <w:rPr>
          <w:lang w:val="de-DE"/>
        </w:rPr>
        <w:t xml:space="preserve"> </w:t>
      </w:r>
      <w:r w:rsidR="008729A1" w:rsidRPr="00D23961">
        <w:rPr>
          <w:lang w:val="de-DE"/>
        </w:rPr>
        <w:t xml:space="preserve">ist </w:t>
      </w:r>
      <w:r w:rsidRPr="00D23961">
        <w:rPr>
          <w:lang w:val="de-DE"/>
        </w:rPr>
        <w:t>eine Gerichtsgebühr für die Einreichung einer Berufung in Höhe von 4.800,00 UAH zu erheben.</w:t>
      </w:r>
    </w:p>
    <w:p w14:paraId="2250B1CA" w14:textId="347655EA" w:rsidR="00AA78F2" w:rsidRPr="00B724BC" w:rsidRDefault="00AA78F2" w:rsidP="00AA78F2">
      <w:pPr>
        <w:rPr>
          <w:lang w:val="en-GB"/>
        </w:rPr>
      </w:pPr>
      <w:r w:rsidRPr="00B724BC">
        <w:rPr>
          <w:lang w:val="en-GB"/>
        </w:rPr>
        <w:t>Kläger: Forest Stewardship Council.</w:t>
      </w:r>
    </w:p>
    <w:p w14:paraId="0CC165C8" w14:textId="47279DDD" w:rsidR="00AA78F2" w:rsidRPr="00B724BC" w:rsidRDefault="00AA78F2" w:rsidP="00AA78F2">
      <w:pPr>
        <w:rPr>
          <w:lang w:val="en-GB"/>
        </w:rPr>
      </w:pPr>
      <w:r w:rsidRPr="00B724BC">
        <w:rPr>
          <w:lang w:val="en-GB"/>
        </w:rPr>
        <w:t xml:space="preserve">Beklagter: </w:t>
      </w:r>
      <w:r w:rsidR="00521BA2" w:rsidRPr="00B724BC">
        <w:rPr>
          <w:lang w:val="en-GB"/>
        </w:rPr>
        <w:t>Gerriet Harms</w:t>
      </w:r>
      <w:r w:rsidRPr="00B724BC">
        <w:rPr>
          <w:lang w:val="en-GB"/>
        </w:rPr>
        <w:t>.</w:t>
      </w:r>
    </w:p>
    <w:p w14:paraId="726A6380" w14:textId="77777777" w:rsidR="00B339F9" w:rsidRPr="00D23961" w:rsidRDefault="00627D19" w:rsidP="00591B85">
      <w:pPr>
        <w:jc w:val="both"/>
        <w:rPr>
          <w:lang w:val="de-DE"/>
        </w:rPr>
      </w:pPr>
      <w:r w:rsidRPr="00D23961">
        <w:rPr>
          <w:lang w:val="de-DE"/>
        </w:rPr>
        <w:t>Der Beschluss tritt ab dem Zeitpunkt seiner Annahme in Kraft, er kann im Kassationsverfahren beim Obersten Gerichtshof innerhalb von 30 (dreißig) Tagen ab dem Datum der vollständigen Gerichtsentscheidung angefochten werden.</w:t>
      </w:r>
    </w:p>
    <w:p w14:paraId="76780807" w14:textId="77777777" w:rsidR="00627D19" w:rsidRPr="00D23961" w:rsidRDefault="00627D19" w:rsidP="004261AE">
      <w:pPr>
        <w:rPr>
          <w:sz w:val="8"/>
          <w:szCs w:val="8"/>
          <w:lang w:val="de-DE"/>
        </w:rPr>
      </w:pPr>
    </w:p>
    <w:p w14:paraId="75D8EF59" w14:textId="77777777" w:rsidR="00627D19" w:rsidRPr="00D23961" w:rsidRDefault="00627D19" w:rsidP="00627D19">
      <w:pPr>
        <w:rPr>
          <w:lang w:val="de-DE"/>
        </w:rPr>
      </w:pPr>
      <w:r w:rsidRPr="00D23961">
        <w:rPr>
          <w:lang w:val="de-DE"/>
        </w:rPr>
        <w:t>Richter-Reporter: V.V. Sokolova</w:t>
      </w:r>
    </w:p>
    <w:p w14:paraId="1E631E73" w14:textId="77777777" w:rsidR="00627D19" w:rsidRPr="00D23961" w:rsidRDefault="00627D19" w:rsidP="00627D19">
      <w:pPr>
        <w:rPr>
          <w:lang w:val="de-DE"/>
        </w:rPr>
      </w:pPr>
      <w:r w:rsidRPr="00D23961">
        <w:rPr>
          <w:lang w:val="de-DE"/>
        </w:rPr>
        <w:t xml:space="preserve">Richter: N.V. </w:t>
      </w:r>
      <w:proofErr w:type="spellStart"/>
      <w:r w:rsidRPr="00D23961">
        <w:rPr>
          <w:lang w:val="de-DE"/>
        </w:rPr>
        <w:t>Polnischtschuk</w:t>
      </w:r>
      <w:proofErr w:type="spellEnd"/>
    </w:p>
    <w:p w14:paraId="5B93D1A8" w14:textId="77777777" w:rsidR="00627D19" w:rsidRPr="00D23961" w:rsidRDefault="00627D19" w:rsidP="00627D19">
      <w:pPr>
        <w:rPr>
          <w:lang w:val="de-DE"/>
        </w:rPr>
      </w:pPr>
      <w:r w:rsidRPr="00D23961">
        <w:rPr>
          <w:lang w:val="de-DE"/>
        </w:rPr>
        <w:t xml:space="preserve">               O.I. </w:t>
      </w:r>
      <w:proofErr w:type="spellStart"/>
      <w:r w:rsidRPr="00D23961">
        <w:rPr>
          <w:lang w:val="de-DE"/>
        </w:rPr>
        <w:t>Schkorina</w:t>
      </w:r>
      <w:proofErr w:type="spellEnd"/>
    </w:p>
    <w:p w14:paraId="14A31F29" w14:textId="778BA8C4" w:rsidR="00B339F9" w:rsidRDefault="00627D19" w:rsidP="00627D19">
      <w:pPr>
        <w:rPr>
          <w:lang w:val="uk-UA"/>
        </w:rPr>
      </w:pPr>
      <w:r w:rsidRPr="00977549">
        <w:rPr>
          <w:lang w:val="de-DE"/>
        </w:rPr>
        <w:t>Der vollständige Wortlaut der Resolution wurde am 28. Juli 2023 erstellt.</w:t>
      </w:r>
    </w:p>
    <w:p w14:paraId="711D3C1E" w14:textId="048D4A42" w:rsidR="00F02C84" w:rsidRDefault="00F02C84" w:rsidP="00F02C84">
      <w:pPr>
        <w:jc w:val="center"/>
        <w:rPr>
          <w:lang w:val="uk-UA"/>
        </w:rPr>
      </w:pPr>
      <w:r>
        <w:rPr>
          <w:lang w:val="uk-UA"/>
        </w:rPr>
        <w:t>-------------------------------------------------------------------------------------------------</w:t>
      </w: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282"/>
        <w:gridCol w:w="4531"/>
      </w:tblGrid>
      <w:tr w:rsidR="00EF0DC4" w:rsidRPr="00EF0DC4" w14:paraId="08F91CCA" w14:textId="77777777" w:rsidTr="00276BA1">
        <w:tc>
          <w:tcPr>
            <w:tcW w:w="4644" w:type="dxa"/>
          </w:tcPr>
          <w:p w14:paraId="25E4C596" w14:textId="4B500629" w:rsidR="00EF0DC4" w:rsidRPr="0008619F" w:rsidRDefault="00F02C84" w:rsidP="0008619F">
            <w:pPr>
              <w:jc w:val="both"/>
              <w:rPr>
                <w:sz w:val="24"/>
                <w:szCs w:val="24"/>
                <w:lang w:val="uk-UA"/>
              </w:rPr>
            </w:pPr>
            <w:r w:rsidRPr="0008619F">
              <w:rPr>
                <w:sz w:val="24"/>
                <w:szCs w:val="24"/>
                <w:lang w:val="uk-UA"/>
              </w:rPr>
              <w:t xml:space="preserve"> </w:t>
            </w:r>
            <w:r w:rsidR="00EF0DC4" w:rsidRPr="0008619F">
              <w:rPr>
                <w:sz w:val="24"/>
                <w:szCs w:val="24"/>
                <w:lang w:val="uk-UA"/>
              </w:rPr>
              <w:t xml:space="preserve">Цей переклад з української мови німецькою виконано мною, перекладачем </w:t>
            </w:r>
            <w:proofErr w:type="spellStart"/>
            <w:r w:rsidR="00EF0DC4" w:rsidRPr="0008619F">
              <w:rPr>
                <w:sz w:val="24"/>
                <w:szCs w:val="24"/>
                <w:lang w:val="uk-UA"/>
              </w:rPr>
              <w:t>Кордуп</w:t>
            </w:r>
            <w:proofErr w:type="spellEnd"/>
            <w:r w:rsidR="00EF0DC4" w:rsidRPr="0008619F">
              <w:rPr>
                <w:sz w:val="24"/>
                <w:szCs w:val="24"/>
                <w:lang w:val="uk-UA"/>
              </w:rPr>
              <w:t xml:space="preserve"> Ро</w:t>
            </w:r>
            <w:r w:rsidR="00D359AD">
              <w:rPr>
                <w:sz w:val="24"/>
                <w:szCs w:val="24"/>
                <w:lang w:val="uk-UA"/>
              </w:rPr>
              <w:t xml:space="preserve">маном </w:t>
            </w:r>
            <w:proofErr w:type="spellStart"/>
            <w:r w:rsidR="00D359AD">
              <w:rPr>
                <w:sz w:val="24"/>
                <w:szCs w:val="24"/>
                <w:lang w:val="uk-UA"/>
              </w:rPr>
              <w:t>Анатоліївичем</w:t>
            </w:r>
            <w:proofErr w:type="spellEnd"/>
            <w:r w:rsidR="00D359AD">
              <w:rPr>
                <w:sz w:val="24"/>
                <w:szCs w:val="24"/>
                <w:lang w:val="uk-UA"/>
              </w:rPr>
              <w:t xml:space="preserve"> (диплом № КЛ 901218 </w:t>
            </w:r>
            <w:r w:rsidR="00EF0DC4" w:rsidRPr="0008619F">
              <w:rPr>
                <w:sz w:val="24"/>
                <w:szCs w:val="24"/>
                <w:lang w:val="uk-UA"/>
              </w:rPr>
              <w:t>ві</w:t>
            </w:r>
            <w:r w:rsidR="00D359AD">
              <w:rPr>
                <w:sz w:val="24"/>
                <w:szCs w:val="24"/>
                <w:lang w:val="uk-UA"/>
              </w:rPr>
              <w:t xml:space="preserve">д 1993 </w:t>
            </w:r>
            <w:r w:rsidR="00EF0DC4" w:rsidRPr="0008619F">
              <w:rPr>
                <w:sz w:val="24"/>
                <w:szCs w:val="24"/>
                <w:lang w:val="uk-UA"/>
              </w:rPr>
              <w:t>р.)</w:t>
            </w:r>
          </w:p>
          <w:p w14:paraId="40BB8837" w14:textId="77777777" w:rsidR="00EF0DC4" w:rsidRPr="0008619F" w:rsidRDefault="00EF0DC4" w:rsidP="0008619F">
            <w:pPr>
              <w:jc w:val="both"/>
              <w:rPr>
                <w:sz w:val="24"/>
                <w:szCs w:val="24"/>
                <w:lang w:val="uk-UA"/>
              </w:rPr>
            </w:pPr>
          </w:p>
        </w:tc>
        <w:tc>
          <w:tcPr>
            <w:tcW w:w="284" w:type="dxa"/>
          </w:tcPr>
          <w:p w14:paraId="75658403" w14:textId="77777777" w:rsidR="00EF0DC4" w:rsidRPr="0008619F" w:rsidRDefault="00EF0DC4" w:rsidP="0008619F">
            <w:pPr>
              <w:jc w:val="both"/>
              <w:rPr>
                <w:sz w:val="24"/>
                <w:szCs w:val="24"/>
              </w:rPr>
            </w:pPr>
          </w:p>
        </w:tc>
        <w:tc>
          <w:tcPr>
            <w:tcW w:w="4643" w:type="dxa"/>
          </w:tcPr>
          <w:p w14:paraId="528665B8" w14:textId="78A29DC8" w:rsidR="00EF0DC4" w:rsidRPr="0008619F" w:rsidRDefault="00D23961" w:rsidP="00D23961">
            <w:pPr>
              <w:jc w:val="both"/>
              <w:rPr>
                <w:sz w:val="24"/>
                <w:szCs w:val="24"/>
              </w:rPr>
            </w:pPr>
            <w:r>
              <w:rPr>
                <w:rStyle w:val="rynqvb"/>
                <w:lang w:val="de-DE"/>
              </w:rPr>
              <w:t xml:space="preserve">Diese Übersetzung aus dem Ukrainischen ins Deutsche wurde von mir, Übersetzer </w:t>
            </w:r>
            <w:proofErr w:type="spellStart"/>
            <w:r>
              <w:rPr>
                <w:rStyle w:val="rynqvb"/>
                <w:lang w:val="de-DE"/>
              </w:rPr>
              <w:t>Kordup</w:t>
            </w:r>
            <w:proofErr w:type="spellEnd"/>
            <w:r>
              <w:rPr>
                <w:rStyle w:val="rynqvb"/>
                <w:lang w:val="de-DE"/>
              </w:rPr>
              <w:t xml:space="preserve"> R</w:t>
            </w:r>
            <w:r w:rsidR="00D359AD">
              <w:rPr>
                <w:rStyle w:val="rynqvb"/>
                <w:lang w:val="de-DE"/>
              </w:rPr>
              <w:t xml:space="preserve">oman </w:t>
            </w:r>
            <w:proofErr w:type="spellStart"/>
            <w:r w:rsidR="00D359AD">
              <w:rPr>
                <w:rStyle w:val="rynqvb"/>
                <w:lang w:val="de-DE"/>
              </w:rPr>
              <w:t>Anatoliivych</w:t>
            </w:r>
            <w:proofErr w:type="spellEnd"/>
            <w:r w:rsidR="00D359AD">
              <w:rPr>
                <w:rStyle w:val="rynqvb"/>
                <w:lang w:val="de-DE"/>
              </w:rPr>
              <w:t xml:space="preserve"> (Diplom Nr. </w:t>
            </w:r>
            <w:r w:rsidR="00D359AD" w:rsidRPr="00D359AD">
              <w:rPr>
                <w:lang w:val="uk-UA"/>
              </w:rPr>
              <w:t xml:space="preserve">КЛ 901218 </w:t>
            </w:r>
            <w:proofErr w:type="spellStart"/>
            <w:r w:rsidR="00D359AD">
              <w:rPr>
                <w:rStyle w:val="rynqvb"/>
                <w:lang w:val="en-US"/>
              </w:rPr>
              <w:t>vom</w:t>
            </w:r>
            <w:proofErr w:type="spellEnd"/>
            <w:r w:rsidR="00D359AD">
              <w:rPr>
                <w:rStyle w:val="rynqvb"/>
                <w:lang w:val="en-US"/>
              </w:rPr>
              <w:t xml:space="preserve"> 1993</w:t>
            </w:r>
            <w:r>
              <w:rPr>
                <w:rStyle w:val="rynqvb"/>
                <w:lang w:val="de-DE"/>
              </w:rPr>
              <w:t>) angefertigt.</w:t>
            </w:r>
          </w:p>
        </w:tc>
      </w:tr>
    </w:tbl>
    <w:p w14:paraId="7E2ABFF4" w14:textId="77777777" w:rsidR="00BD299C" w:rsidRDefault="00BD299C" w:rsidP="00EF0DC4">
      <w:pPr>
        <w:jc w:val="center"/>
        <w:rPr>
          <w:lang w:val="en-US"/>
        </w:rPr>
      </w:pPr>
    </w:p>
    <w:p w14:paraId="7EDA6B8E" w14:textId="679D0FFF" w:rsidR="001E7B68" w:rsidRPr="001E7B68" w:rsidRDefault="001E7B68" w:rsidP="00EF0DC4">
      <w:pPr>
        <w:jc w:val="center"/>
        <w:rPr>
          <w:lang w:val="en-US"/>
        </w:rPr>
      </w:pPr>
      <w:r>
        <w:rPr>
          <w:lang w:val="uk-UA"/>
        </w:rPr>
        <w:t>Підпис/</w:t>
      </w:r>
      <w:proofErr w:type="spellStart"/>
      <w:r>
        <w:rPr>
          <w:lang w:val="en-US"/>
        </w:rPr>
        <w:t>Unterschrift</w:t>
      </w:r>
      <w:proofErr w:type="spellEnd"/>
      <w:r>
        <w:rPr>
          <w:lang w:val="en-US"/>
        </w:rPr>
        <w:t>: ___________________</w:t>
      </w:r>
    </w:p>
    <w:sectPr w:rsidR="001E7B68" w:rsidRPr="001E7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bCs/>
        <w:i/>
        <w:lang w:val="de-D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2769D1"/>
    <w:multiLevelType w:val="hybridMultilevel"/>
    <w:tmpl w:val="9C1EA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B4873"/>
    <w:multiLevelType w:val="hybridMultilevel"/>
    <w:tmpl w:val="35DE0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BF7CC4"/>
    <w:multiLevelType w:val="hybridMultilevel"/>
    <w:tmpl w:val="7F404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096D8C"/>
    <w:multiLevelType w:val="hybridMultilevel"/>
    <w:tmpl w:val="3FC2472E"/>
    <w:lvl w:ilvl="0" w:tplc="04070001">
      <w:start w:val="1"/>
      <w:numFmt w:val="bullet"/>
      <w:lvlText w:val=""/>
      <w:lvlJc w:val="left"/>
      <w:pPr>
        <w:ind w:left="720" w:hanging="360"/>
      </w:pPr>
      <w:rPr>
        <w:rFonts w:ascii="Symbol" w:hAnsi="Symbol" w:hint="default"/>
      </w:rPr>
    </w:lvl>
    <w:lvl w:ilvl="1" w:tplc="A5648D4E">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293E80"/>
    <w:multiLevelType w:val="hybridMultilevel"/>
    <w:tmpl w:val="F9667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410F37"/>
    <w:multiLevelType w:val="hybridMultilevel"/>
    <w:tmpl w:val="ECBEF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berschrift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F23263"/>
    <w:multiLevelType w:val="hybridMultilevel"/>
    <w:tmpl w:val="70366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0948629">
    <w:abstractNumId w:val="3"/>
  </w:num>
  <w:num w:numId="2" w16cid:durableId="846024274">
    <w:abstractNumId w:val="6"/>
  </w:num>
  <w:num w:numId="3" w16cid:durableId="1487895967">
    <w:abstractNumId w:val="5"/>
  </w:num>
  <w:num w:numId="4" w16cid:durableId="927036794">
    <w:abstractNumId w:val="4"/>
  </w:num>
  <w:num w:numId="5" w16cid:durableId="1504971023">
    <w:abstractNumId w:val="1"/>
  </w:num>
  <w:num w:numId="6" w16cid:durableId="2099204177">
    <w:abstractNumId w:val="2"/>
  </w:num>
  <w:num w:numId="7" w16cid:durableId="847058517">
    <w:abstractNumId w:val="7"/>
  </w:num>
  <w:num w:numId="8" w16cid:durableId="1438911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1E"/>
    <w:rsid w:val="000020C2"/>
    <w:rsid w:val="00007015"/>
    <w:rsid w:val="0000751B"/>
    <w:rsid w:val="0001113A"/>
    <w:rsid w:val="00012164"/>
    <w:rsid w:val="000121BC"/>
    <w:rsid w:val="00015DEC"/>
    <w:rsid w:val="00016CC9"/>
    <w:rsid w:val="000202CE"/>
    <w:rsid w:val="0002076F"/>
    <w:rsid w:val="00021AE2"/>
    <w:rsid w:val="00023A47"/>
    <w:rsid w:val="0002406E"/>
    <w:rsid w:val="00030F00"/>
    <w:rsid w:val="0003598E"/>
    <w:rsid w:val="0003695C"/>
    <w:rsid w:val="00047438"/>
    <w:rsid w:val="000474A4"/>
    <w:rsid w:val="000517B9"/>
    <w:rsid w:val="000526F5"/>
    <w:rsid w:val="000564F7"/>
    <w:rsid w:val="000605D4"/>
    <w:rsid w:val="00067AC4"/>
    <w:rsid w:val="00073BF3"/>
    <w:rsid w:val="00085E5E"/>
    <w:rsid w:val="0008619F"/>
    <w:rsid w:val="00086A97"/>
    <w:rsid w:val="00094335"/>
    <w:rsid w:val="000A02A3"/>
    <w:rsid w:val="000A1E48"/>
    <w:rsid w:val="000C1C85"/>
    <w:rsid w:val="000D1474"/>
    <w:rsid w:val="000D36B7"/>
    <w:rsid w:val="000D6CD7"/>
    <w:rsid w:val="000D7337"/>
    <w:rsid w:val="000E05AE"/>
    <w:rsid w:val="000E2A37"/>
    <w:rsid w:val="000F2CA4"/>
    <w:rsid w:val="000F3A12"/>
    <w:rsid w:val="000F6C77"/>
    <w:rsid w:val="00100821"/>
    <w:rsid w:val="00103B10"/>
    <w:rsid w:val="00107CA8"/>
    <w:rsid w:val="00116A06"/>
    <w:rsid w:val="00127836"/>
    <w:rsid w:val="00127C3C"/>
    <w:rsid w:val="0013108E"/>
    <w:rsid w:val="00135C77"/>
    <w:rsid w:val="001379BA"/>
    <w:rsid w:val="00137DC6"/>
    <w:rsid w:val="00162B3C"/>
    <w:rsid w:val="00166162"/>
    <w:rsid w:val="0017230F"/>
    <w:rsid w:val="00174756"/>
    <w:rsid w:val="001752F5"/>
    <w:rsid w:val="00177368"/>
    <w:rsid w:val="0018243A"/>
    <w:rsid w:val="0018315A"/>
    <w:rsid w:val="00184D8D"/>
    <w:rsid w:val="0019004C"/>
    <w:rsid w:val="001A4E94"/>
    <w:rsid w:val="001A5DE5"/>
    <w:rsid w:val="001B0267"/>
    <w:rsid w:val="001C04BB"/>
    <w:rsid w:val="001C1EE0"/>
    <w:rsid w:val="001C279F"/>
    <w:rsid w:val="001C2F88"/>
    <w:rsid w:val="001C321F"/>
    <w:rsid w:val="001C63B2"/>
    <w:rsid w:val="001D093E"/>
    <w:rsid w:val="001D4F08"/>
    <w:rsid w:val="001E04C9"/>
    <w:rsid w:val="001E143E"/>
    <w:rsid w:val="001E6066"/>
    <w:rsid w:val="001E6BD7"/>
    <w:rsid w:val="001E7B68"/>
    <w:rsid w:val="001F10DD"/>
    <w:rsid w:val="001F12E6"/>
    <w:rsid w:val="001F4D62"/>
    <w:rsid w:val="001F6DB7"/>
    <w:rsid w:val="00200944"/>
    <w:rsid w:val="0020293D"/>
    <w:rsid w:val="00206D3D"/>
    <w:rsid w:val="00210851"/>
    <w:rsid w:val="00216842"/>
    <w:rsid w:val="002257DB"/>
    <w:rsid w:val="00232A64"/>
    <w:rsid w:val="00233845"/>
    <w:rsid w:val="002422E8"/>
    <w:rsid w:val="00243AFA"/>
    <w:rsid w:val="00253E42"/>
    <w:rsid w:val="00271F90"/>
    <w:rsid w:val="0027226F"/>
    <w:rsid w:val="00275DF5"/>
    <w:rsid w:val="00276BA1"/>
    <w:rsid w:val="002827CD"/>
    <w:rsid w:val="00285AC3"/>
    <w:rsid w:val="00286651"/>
    <w:rsid w:val="002875B4"/>
    <w:rsid w:val="002902C4"/>
    <w:rsid w:val="002A0DE7"/>
    <w:rsid w:val="002B0A0A"/>
    <w:rsid w:val="002B4DA0"/>
    <w:rsid w:val="002B58F8"/>
    <w:rsid w:val="002B5C9F"/>
    <w:rsid w:val="002C0DBE"/>
    <w:rsid w:val="002C1A25"/>
    <w:rsid w:val="002C66EA"/>
    <w:rsid w:val="002C7C47"/>
    <w:rsid w:val="002D3599"/>
    <w:rsid w:val="002E2D5A"/>
    <w:rsid w:val="002E67CE"/>
    <w:rsid w:val="002E697A"/>
    <w:rsid w:val="002F3E62"/>
    <w:rsid w:val="003060D1"/>
    <w:rsid w:val="00313D04"/>
    <w:rsid w:val="00324880"/>
    <w:rsid w:val="00327622"/>
    <w:rsid w:val="00331B22"/>
    <w:rsid w:val="00332433"/>
    <w:rsid w:val="003366AB"/>
    <w:rsid w:val="003372CE"/>
    <w:rsid w:val="00344CE2"/>
    <w:rsid w:val="00367CCE"/>
    <w:rsid w:val="00373A46"/>
    <w:rsid w:val="00374B5A"/>
    <w:rsid w:val="00382D90"/>
    <w:rsid w:val="00391B0D"/>
    <w:rsid w:val="00395B83"/>
    <w:rsid w:val="003A34EC"/>
    <w:rsid w:val="003A37D4"/>
    <w:rsid w:val="003A4AB6"/>
    <w:rsid w:val="003A4C7D"/>
    <w:rsid w:val="003A4DCB"/>
    <w:rsid w:val="003B5B94"/>
    <w:rsid w:val="003D5E26"/>
    <w:rsid w:val="003E0BEB"/>
    <w:rsid w:val="003E12DC"/>
    <w:rsid w:val="003E3104"/>
    <w:rsid w:val="003E4BD8"/>
    <w:rsid w:val="003E5174"/>
    <w:rsid w:val="003F7886"/>
    <w:rsid w:val="00400A20"/>
    <w:rsid w:val="004054B6"/>
    <w:rsid w:val="00412149"/>
    <w:rsid w:val="00417C8B"/>
    <w:rsid w:val="00417DCB"/>
    <w:rsid w:val="004220A4"/>
    <w:rsid w:val="004261AE"/>
    <w:rsid w:val="00430D3A"/>
    <w:rsid w:val="00430F9E"/>
    <w:rsid w:val="00434AAB"/>
    <w:rsid w:val="004455DA"/>
    <w:rsid w:val="00447CE3"/>
    <w:rsid w:val="00452A77"/>
    <w:rsid w:val="00463EFD"/>
    <w:rsid w:val="00465F00"/>
    <w:rsid w:val="0047019F"/>
    <w:rsid w:val="00471B7F"/>
    <w:rsid w:val="00474217"/>
    <w:rsid w:val="0047734B"/>
    <w:rsid w:val="004831F5"/>
    <w:rsid w:val="00487FE7"/>
    <w:rsid w:val="00492E05"/>
    <w:rsid w:val="00493E2B"/>
    <w:rsid w:val="00497561"/>
    <w:rsid w:val="004A1B96"/>
    <w:rsid w:val="004A5A1E"/>
    <w:rsid w:val="004B0E77"/>
    <w:rsid w:val="004B520A"/>
    <w:rsid w:val="004B5FF9"/>
    <w:rsid w:val="004C1E14"/>
    <w:rsid w:val="004C34F1"/>
    <w:rsid w:val="004D09DA"/>
    <w:rsid w:val="004D40BD"/>
    <w:rsid w:val="004D50E4"/>
    <w:rsid w:val="004E0664"/>
    <w:rsid w:val="004F099E"/>
    <w:rsid w:val="00505740"/>
    <w:rsid w:val="00513EF8"/>
    <w:rsid w:val="005157C8"/>
    <w:rsid w:val="00521BA2"/>
    <w:rsid w:val="0052219A"/>
    <w:rsid w:val="00523327"/>
    <w:rsid w:val="00534455"/>
    <w:rsid w:val="00534921"/>
    <w:rsid w:val="00537C6E"/>
    <w:rsid w:val="0054187C"/>
    <w:rsid w:val="00551982"/>
    <w:rsid w:val="00551A85"/>
    <w:rsid w:val="00553FC0"/>
    <w:rsid w:val="00560EEB"/>
    <w:rsid w:val="00570D43"/>
    <w:rsid w:val="0057186D"/>
    <w:rsid w:val="0057329B"/>
    <w:rsid w:val="00573758"/>
    <w:rsid w:val="005755AF"/>
    <w:rsid w:val="00575904"/>
    <w:rsid w:val="005762D2"/>
    <w:rsid w:val="005810A9"/>
    <w:rsid w:val="0058585E"/>
    <w:rsid w:val="005860C3"/>
    <w:rsid w:val="00586271"/>
    <w:rsid w:val="00591B85"/>
    <w:rsid w:val="005A34D6"/>
    <w:rsid w:val="005B0B10"/>
    <w:rsid w:val="005B3C75"/>
    <w:rsid w:val="005C40F1"/>
    <w:rsid w:val="005C44C6"/>
    <w:rsid w:val="005C50CF"/>
    <w:rsid w:val="005D3929"/>
    <w:rsid w:val="005E1603"/>
    <w:rsid w:val="005E6BC5"/>
    <w:rsid w:val="005F0DF6"/>
    <w:rsid w:val="005F1D6D"/>
    <w:rsid w:val="005F23A9"/>
    <w:rsid w:val="005F2EEF"/>
    <w:rsid w:val="0060404B"/>
    <w:rsid w:val="00604D47"/>
    <w:rsid w:val="006137EF"/>
    <w:rsid w:val="00613BD1"/>
    <w:rsid w:val="00616135"/>
    <w:rsid w:val="00627D19"/>
    <w:rsid w:val="00640844"/>
    <w:rsid w:val="006446A7"/>
    <w:rsid w:val="00646223"/>
    <w:rsid w:val="006558F5"/>
    <w:rsid w:val="0065654A"/>
    <w:rsid w:val="0066160C"/>
    <w:rsid w:val="00672615"/>
    <w:rsid w:val="00672E88"/>
    <w:rsid w:val="00680447"/>
    <w:rsid w:val="00684B30"/>
    <w:rsid w:val="00687122"/>
    <w:rsid w:val="00691222"/>
    <w:rsid w:val="0069198C"/>
    <w:rsid w:val="00691F86"/>
    <w:rsid w:val="00694D84"/>
    <w:rsid w:val="006959AF"/>
    <w:rsid w:val="0069747D"/>
    <w:rsid w:val="006A15F8"/>
    <w:rsid w:val="006A4122"/>
    <w:rsid w:val="006A6533"/>
    <w:rsid w:val="006A71B8"/>
    <w:rsid w:val="006B125C"/>
    <w:rsid w:val="006B51DA"/>
    <w:rsid w:val="006C086E"/>
    <w:rsid w:val="006C1503"/>
    <w:rsid w:val="006C1C95"/>
    <w:rsid w:val="006C2DB8"/>
    <w:rsid w:val="006C2DC9"/>
    <w:rsid w:val="006C51F2"/>
    <w:rsid w:val="006C7AAF"/>
    <w:rsid w:val="006D6868"/>
    <w:rsid w:val="006E67A9"/>
    <w:rsid w:val="006F0C21"/>
    <w:rsid w:val="006F45A4"/>
    <w:rsid w:val="00705FA9"/>
    <w:rsid w:val="00706952"/>
    <w:rsid w:val="007133AF"/>
    <w:rsid w:val="007137D6"/>
    <w:rsid w:val="00714A25"/>
    <w:rsid w:val="0071683A"/>
    <w:rsid w:val="00722721"/>
    <w:rsid w:val="00723208"/>
    <w:rsid w:val="007234A8"/>
    <w:rsid w:val="007304CC"/>
    <w:rsid w:val="0073439C"/>
    <w:rsid w:val="00734BB6"/>
    <w:rsid w:val="00742496"/>
    <w:rsid w:val="007432AF"/>
    <w:rsid w:val="00743604"/>
    <w:rsid w:val="00743D4D"/>
    <w:rsid w:val="00747926"/>
    <w:rsid w:val="00754D03"/>
    <w:rsid w:val="007737AD"/>
    <w:rsid w:val="00791271"/>
    <w:rsid w:val="00793271"/>
    <w:rsid w:val="00793F0C"/>
    <w:rsid w:val="007941CD"/>
    <w:rsid w:val="007943E5"/>
    <w:rsid w:val="00797406"/>
    <w:rsid w:val="00797D40"/>
    <w:rsid w:val="007A129E"/>
    <w:rsid w:val="007A31B2"/>
    <w:rsid w:val="007A515C"/>
    <w:rsid w:val="007B1DA1"/>
    <w:rsid w:val="007B3BBB"/>
    <w:rsid w:val="007B48D1"/>
    <w:rsid w:val="007B7E85"/>
    <w:rsid w:val="007C267B"/>
    <w:rsid w:val="007C5529"/>
    <w:rsid w:val="007D011A"/>
    <w:rsid w:val="007D0676"/>
    <w:rsid w:val="007D2970"/>
    <w:rsid w:val="007D3CD1"/>
    <w:rsid w:val="007D3FA8"/>
    <w:rsid w:val="007D690F"/>
    <w:rsid w:val="007E7666"/>
    <w:rsid w:val="007F6893"/>
    <w:rsid w:val="007F76CD"/>
    <w:rsid w:val="008125DC"/>
    <w:rsid w:val="008142D6"/>
    <w:rsid w:val="00822152"/>
    <w:rsid w:val="00824F59"/>
    <w:rsid w:val="00833278"/>
    <w:rsid w:val="008404F8"/>
    <w:rsid w:val="00844F99"/>
    <w:rsid w:val="00847229"/>
    <w:rsid w:val="008513D8"/>
    <w:rsid w:val="00854160"/>
    <w:rsid w:val="008543B9"/>
    <w:rsid w:val="00870223"/>
    <w:rsid w:val="00871507"/>
    <w:rsid w:val="008729A1"/>
    <w:rsid w:val="008812A8"/>
    <w:rsid w:val="00881970"/>
    <w:rsid w:val="00882FD0"/>
    <w:rsid w:val="00891141"/>
    <w:rsid w:val="0089381E"/>
    <w:rsid w:val="00893B0C"/>
    <w:rsid w:val="008A066F"/>
    <w:rsid w:val="008A0704"/>
    <w:rsid w:val="008A0F1C"/>
    <w:rsid w:val="008A6007"/>
    <w:rsid w:val="008B4DB3"/>
    <w:rsid w:val="008B6D6F"/>
    <w:rsid w:val="008B743E"/>
    <w:rsid w:val="008C2B0A"/>
    <w:rsid w:val="008C43DE"/>
    <w:rsid w:val="008D16E0"/>
    <w:rsid w:val="008D42E0"/>
    <w:rsid w:val="008D7A3C"/>
    <w:rsid w:val="008E4B66"/>
    <w:rsid w:val="008E54AD"/>
    <w:rsid w:val="008E7739"/>
    <w:rsid w:val="008F1A75"/>
    <w:rsid w:val="008F2E0A"/>
    <w:rsid w:val="008F39DA"/>
    <w:rsid w:val="008F5DFF"/>
    <w:rsid w:val="008F6614"/>
    <w:rsid w:val="00906595"/>
    <w:rsid w:val="00913752"/>
    <w:rsid w:val="00913D3D"/>
    <w:rsid w:val="00916C7C"/>
    <w:rsid w:val="009214DA"/>
    <w:rsid w:val="00922EE5"/>
    <w:rsid w:val="00931265"/>
    <w:rsid w:val="0093295B"/>
    <w:rsid w:val="009338D0"/>
    <w:rsid w:val="00935A29"/>
    <w:rsid w:val="00937FEF"/>
    <w:rsid w:val="00944AAD"/>
    <w:rsid w:val="00945BC1"/>
    <w:rsid w:val="00957973"/>
    <w:rsid w:val="0096686A"/>
    <w:rsid w:val="00966D62"/>
    <w:rsid w:val="00967B2F"/>
    <w:rsid w:val="00970E22"/>
    <w:rsid w:val="00977549"/>
    <w:rsid w:val="00982287"/>
    <w:rsid w:val="00984A2F"/>
    <w:rsid w:val="0099154B"/>
    <w:rsid w:val="00997CBC"/>
    <w:rsid w:val="009A24C8"/>
    <w:rsid w:val="009A3235"/>
    <w:rsid w:val="009A5638"/>
    <w:rsid w:val="009A5FBF"/>
    <w:rsid w:val="009B7F84"/>
    <w:rsid w:val="009C0513"/>
    <w:rsid w:val="009D22DD"/>
    <w:rsid w:val="009D440E"/>
    <w:rsid w:val="009D46E0"/>
    <w:rsid w:val="009E12A6"/>
    <w:rsid w:val="009E1B4A"/>
    <w:rsid w:val="009E2182"/>
    <w:rsid w:val="009E5B1F"/>
    <w:rsid w:val="009E79D3"/>
    <w:rsid w:val="009F0618"/>
    <w:rsid w:val="00A00262"/>
    <w:rsid w:val="00A01C6D"/>
    <w:rsid w:val="00A0276D"/>
    <w:rsid w:val="00A02778"/>
    <w:rsid w:val="00A138A0"/>
    <w:rsid w:val="00A14546"/>
    <w:rsid w:val="00A15213"/>
    <w:rsid w:val="00A21728"/>
    <w:rsid w:val="00A22FC8"/>
    <w:rsid w:val="00A23EB0"/>
    <w:rsid w:val="00A34A5C"/>
    <w:rsid w:val="00A3655B"/>
    <w:rsid w:val="00A41709"/>
    <w:rsid w:val="00A42AA4"/>
    <w:rsid w:val="00A52971"/>
    <w:rsid w:val="00A55AC6"/>
    <w:rsid w:val="00A66F17"/>
    <w:rsid w:val="00A805BE"/>
    <w:rsid w:val="00A8220E"/>
    <w:rsid w:val="00A8284F"/>
    <w:rsid w:val="00A829E8"/>
    <w:rsid w:val="00A91DA1"/>
    <w:rsid w:val="00AA1EA3"/>
    <w:rsid w:val="00AA2C4D"/>
    <w:rsid w:val="00AA39A2"/>
    <w:rsid w:val="00AA685F"/>
    <w:rsid w:val="00AA78F2"/>
    <w:rsid w:val="00AB1A35"/>
    <w:rsid w:val="00AC084F"/>
    <w:rsid w:val="00AD7C32"/>
    <w:rsid w:val="00AE02F6"/>
    <w:rsid w:val="00AF2A4F"/>
    <w:rsid w:val="00AF459E"/>
    <w:rsid w:val="00AF4AB1"/>
    <w:rsid w:val="00B0031F"/>
    <w:rsid w:val="00B07DD8"/>
    <w:rsid w:val="00B1195C"/>
    <w:rsid w:val="00B13E9D"/>
    <w:rsid w:val="00B257D3"/>
    <w:rsid w:val="00B31B3C"/>
    <w:rsid w:val="00B339F9"/>
    <w:rsid w:val="00B416DF"/>
    <w:rsid w:val="00B41CEC"/>
    <w:rsid w:val="00B466EA"/>
    <w:rsid w:val="00B46E60"/>
    <w:rsid w:val="00B50EC3"/>
    <w:rsid w:val="00B55865"/>
    <w:rsid w:val="00B56297"/>
    <w:rsid w:val="00B57A89"/>
    <w:rsid w:val="00B70E88"/>
    <w:rsid w:val="00B724BC"/>
    <w:rsid w:val="00B72E43"/>
    <w:rsid w:val="00B76C6A"/>
    <w:rsid w:val="00B819D9"/>
    <w:rsid w:val="00B867FC"/>
    <w:rsid w:val="00B960A3"/>
    <w:rsid w:val="00B97AE1"/>
    <w:rsid w:val="00BA0730"/>
    <w:rsid w:val="00BA2A37"/>
    <w:rsid w:val="00BA6BDF"/>
    <w:rsid w:val="00BB1193"/>
    <w:rsid w:val="00BB178C"/>
    <w:rsid w:val="00BB36B9"/>
    <w:rsid w:val="00BC500F"/>
    <w:rsid w:val="00BC5440"/>
    <w:rsid w:val="00BD299C"/>
    <w:rsid w:val="00BF3114"/>
    <w:rsid w:val="00BF5A4F"/>
    <w:rsid w:val="00BF6282"/>
    <w:rsid w:val="00C02FD6"/>
    <w:rsid w:val="00C03707"/>
    <w:rsid w:val="00C05FF3"/>
    <w:rsid w:val="00C07132"/>
    <w:rsid w:val="00C10F5B"/>
    <w:rsid w:val="00C15D74"/>
    <w:rsid w:val="00C22CCE"/>
    <w:rsid w:val="00C24BFB"/>
    <w:rsid w:val="00C30FAC"/>
    <w:rsid w:val="00C34877"/>
    <w:rsid w:val="00C34A98"/>
    <w:rsid w:val="00C509B5"/>
    <w:rsid w:val="00C52C99"/>
    <w:rsid w:val="00C60939"/>
    <w:rsid w:val="00C6162A"/>
    <w:rsid w:val="00C618EB"/>
    <w:rsid w:val="00C61F57"/>
    <w:rsid w:val="00C62245"/>
    <w:rsid w:val="00C74990"/>
    <w:rsid w:val="00C90101"/>
    <w:rsid w:val="00C93497"/>
    <w:rsid w:val="00C940DE"/>
    <w:rsid w:val="00C96EE9"/>
    <w:rsid w:val="00CA0266"/>
    <w:rsid w:val="00CB26DF"/>
    <w:rsid w:val="00CB52DF"/>
    <w:rsid w:val="00CC035F"/>
    <w:rsid w:val="00CC1B46"/>
    <w:rsid w:val="00CC3823"/>
    <w:rsid w:val="00CC510D"/>
    <w:rsid w:val="00CC7189"/>
    <w:rsid w:val="00CE19DE"/>
    <w:rsid w:val="00CE1E8F"/>
    <w:rsid w:val="00CE4D25"/>
    <w:rsid w:val="00CF16C9"/>
    <w:rsid w:val="00CF2C3F"/>
    <w:rsid w:val="00CF7784"/>
    <w:rsid w:val="00CF7828"/>
    <w:rsid w:val="00D011A2"/>
    <w:rsid w:val="00D0144F"/>
    <w:rsid w:val="00D04740"/>
    <w:rsid w:val="00D17EC3"/>
    <w:rsid w:val="00D235DA"/>
    <w:rsid w:val="00D23961"/>
    <w:rsid w:val="00D274FD"/>
    <w:rsid w:val="00D35615"/>
    <w:rsid w:val="00D359AD"/>
    <w:rsid w:val="00D37C6E"/>
    <w:rsid w:val="00D41296"/>
    <w:rsid w:val="00D4616C"/>
    <w:rsid w:val="00D47E4C"/>
    <w:rsid w:val="00D515A3"/>
    <w:rsid w:val="00D522D9"/>
    <w:rsid w:val="00D64235"/>
    <w:rsid w:val="00D702BB"/>
    <w:rsid w:val="00D720EE"/>
    <w:rsid w:val="00D73503"/>
    <w:rsid w:val="00D7509E"/>
    <w:rsid w:val="00D76E81"/>
    <w:rsid w:val="00D8066E"/>
    <w:rsid w:val="00D81AF1"/>
    <w:rsid w:val="00D90016"/>
    <w:rsid w:val="00D911A1"/>
    <w:rsid w:val="00D9494C"/>
    <w:rsid w:val="00DA208D"/>
    <w:rsid w:val="00DA3FEE"/>
    <w:rsid w:val="00DA6781"/>
    <w:rsid w:val="00DA686C"/>
    <w:rsid w:val="00DC2237"/>
    <w:rsid w:val="00DC3494"/>
    <w:rsid w:val="00DC3721"/>
    <w:rsid w:val="00DC7571"/>
    <w:rsid w:val="00DD0B6E"/>
    <w:rsid w:val="00DD44B4"/>
    <w:rsid w:val="00DD4FCB"/>
    <w:rsid w:val="00DD678D"/>
    <w:rsid w:val="00DE0D9A"/>
    <w:rsid w:val="00DE2D53"/>
    <w:rsid w:val="00DE565E"/>
    <w:rsid w:val="00DF314C"/>
    <w:rsid w:val="00DF5337"/>
    <w:rsid w:val="00E0238E"/>
    <w:rsid w:val="00E07F07"/>
    <w:rsid w:val="00E133AF"/>
    <w:rsid w:val="00E20B5F"/>
    <w:rsid w:val="00E301BA"/>
    <w:rsid w:val="00E43031"/>
    <w:rsid w:val="00E46FEB"/>
    <w:rsid w:val="00E655F9"/>
    <w:rsid w:val="00E70907"/>
    <w:rsid w:val="00E77528"/>
    <w:rsid w:val="00E86A9C"/>
    <w:rsid w:val="00E90C7A"/>
    <w:rsid w:val="00E93303"/>
    <w:rsid w:val="00E951F1"/>
    <w:rsid w:val="00E97EC6"/>
    <w:rsid w:val="00EA097A"/>
    <w:rsid w:val="00EB43E4"/>
    <w:rsid w:val="00EB753A"/>
    <w:rsid w:val="00EC4462"/>
    <w:rsid w:val="00EC4544"/>
    <w:rsid w:val="00EE6DF5"/>
    <w:rsid w:val="00EE74A7"/>
    <w:rsid w:val="00EF0BC5"/>
    <w:rsid w:val="00EF0DC4"/>
    <w:rsid w:val="00EF2B1A"/>
    <w:rsid w:val="00EF3F8B"/>
    <w:rsid w:val="00EF677A"/>
    <w:rsid w:val="00F02C84"/>
    <w:rsid w:val="00F03416"/>
    <w:rsid w:val="00F209DE"/>
    <w:rsid w:val="00F20B55"/>
    <w:rsid w:val="00F32915"/>
    <w:rsid w:val="00F33AF8"/>
    <w:rsid w:val="00F34130"/>
    <w:rsid w:val="00F35456"/>
    <w:rsid w:val="00F40A19"/>
    <w:rsid w:val="00F43FFB"/>
    <w:rsid w:val="00F5286E"/>
    <w:rsid w:val="00F5343C"/>
    <w:rsid w:val="00F53E67"/>
    <w:rsid w:val="00F63B09"/>
    <w:rsid w:val="00F648DE"/>
    <w:rsid w:val="00F64E07"/>
    <w:rsid w:val="00F663BC"/>
    <w:rsid w:val="00F86801"/>
    <w:rsid w:val="00F91606"/>
    <w:rsid w:val="00FA1372"/>
    <w:rsid w:val="00FA1485"/>
    <w:rsid w:val="00FA2A6F"/>
    <w:rsid w:val="00FA3738"/>
    <w:rsid w:val="00FB52D5"/>
    <w:rsid w:val="00FB74FE"/>
    <w:rsid w:val="00FC4D69"/>
    <w:rsid w:val="00FD2C0C"/>
    <w:rsid w:val="00FD52A9"/>
    <w:rsid w:val="00FE185C"/>
    <w:rsid w:val="00FE376E"/>
    <w:rsid w:val="00FE5B8A"/>
    <w:rsid w:val="00FF1A0F"/>
    <w:rsid w:val="00FF25BD"/>
    <w:rsid w:val="00FF3BD7"/>
    <w:rsid w:val="00FF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92AD"/>
  <w15:docId w15:val="{9B3B6B5C-21B7-4A11-A5CD-E926CF3D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semiHidden/>
    <w:unhideWhenUsed/>
    <w:qFormat/>
    <w:rsid w:val="00AA39A2"/>
    <w:pPr>
      <w:keepNext/>
      <w:numPr>
        <w:ilvl w:val="2"/>
        <w:numId w:val="2"/>
      </w:numPr>
      <w:suppressAutoHyphens/>
      <w:spacing w:after="0" w:line="240" w:lineRule="auto"/>
      <w:outlineLvl w:val="2"/>
    </w:pPr>
    <w:rPr>
      <w:rFonts w:ascii="Times New Roman" w:eastAsia="Times New Roman" w:hAnsi="Times New Roman" w:cs="Times New Roman"/>
      <w:b/>
      <w:bCs/>
      <w:sz w:val="20"/>
      <w:szCs w:val="20"/>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338D0"/>
    <w:rPr>
      <w:color w:val="0000FF" w:themeColor="hyperlink"/>
      <w:u w:val="single"/>
    </w:rPr>
  </w:style>
  <w:style w:type="paragraph" w:styleId="Listenabsatz">
    <w:name w:val="List Paragraph"/>
    <w:basedOn w:val="Standard"/>
    <w:uiPriority w:val="34"/>
    <w:qFormat/>
    <w:rsid w:val="00C90101"/>
    <w:pPr>
      <w:ind w:left="720"/>
      <w:contextualSpacing/>
    </w:pPr>
  </w:style>
  <w:style w:type="character" w:styleId="Kommentarzeichen">
    <w:name w:val="annotation reference"/>
    <w:basedOn w:val="Absatz-Standardschriftart"/>
    <w:uiPriority w:val="99"/>
    <w:semiHidden/>
    <w:unhideWhenUsed/>
    <w:rsid w:val="005C44C6"/>
    <w:rPr>
      <w:sz w:val="16"/>
      <w:szCs w:val="16"/>
    </w:rPr>
  </w:style>
  <w:style w:type="paragraph" w:styleId="Kommentartext">
    <w:name w:val="annotation text"/>
    <w:basedOn w:val="Standard"/>
    <w:link w:val="KommentartextZchn"/>
    <w:uiPriority w:val="99"/>
    <w:semiHidden/>
    <w:unhideWhenUsed/>
    <w:rsid w:val="005C44C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44C6"/>
    <w:rPr>
      <w:sz w:val="20"/>
      <w:szCs w:val="20"/>
    </w:rPr>
  </w:style>
  <w:style w:type="paragraph" w:styleId="Kommentarthema">
    <w:name w:val="annotation subject"/>
    <w:basedOn w:val="Kommentartext"/>
    <w:next w:val="Kommentartext"/>
    <w:link w:val="KommentarthemaZchn"/>
    <w:uiPriority w:val="99"/>
    <w:semiHidden/>
    <w:unhideWhenUsed/>
    <w:rsid w:val="005C44C6"/>
    <w:rPr>
      <w:b/>
      <w:bCs/>
    </w:rPr>
  </w:style>
  <w:style w:type="character" w:customStyle="1" w:styleId="KommentarthemaZchn">
    <w:name w:val="Kommentarthema Zchn"/>
    <w:basedOn w:val="KommentartextZchn"/>
    <w:link w:val="Kommentarthema"/>
    <w:uiPriority w:val="99"/>
    <w:semiHidden/>
    <w:rsid w:val="005C44C6"/>
    <w:rPr>
      <w:b/>
      <w:bCs/>
      <w:sz w:val="20"/>
      <w:szCs w:val="20"/>
    </w:rPr>
  </w:style>
  <w:style w:type="paragraph" w:styleId="berarbeitung">
    <w:name w:val="Revision"/>
    <w:hidden/>
    <w:uiPriority w:val="99"/>
    <w:semiHidden/>
    <w:rsid w:val="005C44C6"/>
    <w:pPr>
      <w:spacing w:after="0" w:line="240" w:lineRule="auto"/>
    </w:pPr>
  </w:style>
  <w:style w:type="paragraph" w:styleId="Sprechblasentext">
    <w:name w:val="Balloon Text"/>
    <w:basedOn w:val="Standard"/>
    <w:link w:val="SprechblasentextZchn"/>
    <w:uiPriority w:val="99"/>
    <w:semiHidden/>
    <w:unhideWhenUsed/>
    <w:rsid w:val="00C96E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6EE9"/>
    <w:rPr>
      <w:rFonts w:ascii="Tahoma" w:hAnsi="Tahoma" w:cs="Tahoma"/>
      <w:sz w:val="16"/>
      <w:szCs w:val="16"/>
    </w:rPr>
  </w:style>
  <w:style w:type="paragraph" w:customStyle="1" w:styleId="1">
    <w:name w:val="Верхний колонтитул1"/>
    <w:basedOn w:val="Standard"/>
    <w:rsid w:val="00977549"/>
    <w:pPr>
      <w:widowControl w:val="0"/>
      <w:tabs>
        <w:tab w:val="center" w:pos="4677"/>
        <w:tab w:val="right" w:pos="9355"/>
      </w:tabs>
      <w:suppressAutoHyphens/>
      <w:spacing w:after="0" w:line="240" w:lineRule="auto"/>
    </w:pPr>
    <w:rPr>
      <w:rFonts w:ascii="Times New Roman" w:eastAsia="Times New Roman" w:hAnsi="Times New Roman" w:cs="Times New Roman"/>
      <w:sz w:val="24"/>
      <w:szCs w:val="24"/>
      <w:lang w:eastAsia="ru-RU" w:bidi="ru-RU"/>
    </w:rPr>
  </w:style>
  <w:style w:type="character" w:customStyle="1" w:styleId="berschrift3Zchn">
    <w:name w:val="Überschrift 3 Zchn"/>
    <w:basedOn w:val="Absatz-Standardschriftart"/>
    <w:link w:val="berschrift3"/>
    <w:semiHidden/>
    <w:rsid w:val="00AA39A2"/>
    <w:rPr>
      <w:rFonts w:ascii="Times New Roman" w:eastAsia="Times New Roman" w:hAnsi="Times New Roman" w:cs="Times New Roman"/>
      <w:b/>
      <w:bCs/>
      <w:sz w:val="20"/>
      <w:szCs w:val="20"/>
      <w:lang w:val="de-DE" w:eastAsia="ar-SA"/>
    </w:rPr>
  </w:style>
  <w:style w:type="table" w:styleId="Tabellenraster">
    <w:name w:val="Table Grid"/>
    <w:basedOn w:val="NormaleTabelle"/>
    <w:uiPriority w:val="59"/>
    <w:rsid w:val="00EF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bsatz-Standardschriftart"/>
    <w:rsid w:val="00D2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yestr.court.gov.ua/Review/1124893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5207</Words>
  <Characters>32809</Characters>
  <Application>Microsoft Office Word</Application>
  <DocSecurity>0</DocSecurity>
  <Lines>273</Lines>
  <Paragraphs>75</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Gerriet Harms</cp:lastModifiedBy>
  <cp:revision>4</cp:revision>
  <dcterms:created xsi:type="dcterms:W3CDTF">2024-02-02T08:32:00Z</dcterms:created>
  <dcterms:modified xsi:type="dcterms:W3CDTF">2025-03-04T17:50:00Z</dcterms:modified>
</cp:coreProperties>
</file>